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NormalWeb"/>
        <w:rPr>
          <w:sz w:val="20"/>
          <w:szCs w:val="20"/>
        </w:rPr>
      </w:pPr>
      <w:r>
        <w:rPr>
          <w:sz w:val="20"/>
          <w:szCs w:val="20"/>
        </w:rPr>
        <w:t> </w:t>
      </w:r>
    </w:p>
    <w:p>
      <w:pPr>
        <w:pStyle w:val="NormalWeb"/>
        <w:spacing w:before="0" w:beforeAutospacing="0" w:after="0" w:afterAutospacing="0"/>
        <w:rPr>
          <w:sz w:val="20"/>
          <w:szCs w:val="20"/>
        </w:rPr>
      </w:pPr>
      <w:r>
        <w:rPr>
          <w:sz w:val="20"/>
          <w:szCs w:val="20"/>
        </w:rPr>
        <w:t> </w:t>
      </w:r>
    </w:p>
    <w:p>
      <w:pPr>
        <w:divId w:val="2113159978"/>
        <w:rPr>
          <w:rFonts w:eastAsia="Times New Roman"/>
          <w:sz w:val="2"/>
          <w:szCs w:val="2"/>
        </w:rPr>
      </w:pPr>
      <w:r>
        <w:rPr>
          <w:rFonts w:eastAsia="Times New Roman"/>
          <w:sz w:val="2"/>
          <w:szCs w:val="2"/>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center"/>
        <w:rPr>
          <w:sz w:val="20"/>
          <w:szCs w:val="20"/>
        </w:rPr>
      </w:pPr>
      <w:r>
        <w:rPr>
          <w:b/>
          <w:bCs/>
          <w:sz w:val="20"/>
          <w:szCs w:val="20"/>
        </w:rPr>
        <w:t>UNITED STATES</w:t>
      </w:r>
    </w:p>
    <w:p>
      <w:pPr>
        <w:pStyle w:val="NormalWeb"/>
        <w:spacing w:before="0" w:beforeAutospacing="0" w:after="0" w:afterAutospacing="0"/>
        <w:jc w:val="center"/>
        <w:rPr>
          <w:sz w:val="20"/>
          <w:szCs w:val="20"/>
        </w:rPr>
      </w:pPr>
      <w:r>
        <w:rPr>
          <w:b/>
          <w:bCs/>
          <w:sz w:val="20"/>
          <w:szCs w:val="20"/>
        </w:rPr>
        <w:t>SECURITIES AND EXCHANGE COMMISSION</w:t>
      </w:r>
    </w:p>
    <w:p>
      <w:pPr>
        <w:pStyle w:val="NormalWeb"/>
        <w:spacing w:before="0" w:beforeAutospacing="0" w:after="0" w:afterAutospacing="0"/>
        <w:jc w:val="center"/>
        <w:rPr>
          <w:sz w:val="20"/>
          <w:szCs w:val="20"/>
        </w:rPr>
      </w:pPr>
      <w:r>
        <w:rPr>
          <w:b/>
          <w:bCs/>
          <w:sz w:val="20"/>
          <w:szCs w:val="20"/>
        </w:rPr>
        <w:t>Washington D.C. 20549</w:t>
      </w:r>
    </w:p>
    <w:p>
      <w:pPr>
        <w:pStyle w:val="NormalWeb"/>
        <w:spacing w:before="0" w:beforeAutospacing="0" w:after="0" w:afterAutospacing="0"/>
        <w:jc w:val="center"/>
        <w:rPr>
          <w:sz w:val="20"/>
          <w:szCs w:val="20"/>
        </w:rPr>
      </w:pPr>
      <w:r>
        <w:rPr>
          <w:sz w:val="20"/>
          <w:szCs w:val="20"/>
        </w:rPr>
        <w:t> </w:t>
      </w:r>
    </w:p>
    <w:p>
      <w:pPr>
        <w:pStyle w:val="NormalWeb"/>
        <w:spacing w:before="0" w:beforeAutospacing="0" w:after="0" w:afterAutospacing="0"/>
        <w:jc w:val="center"/>
        <w:rPr>
          <w:sz w:val="28"/>
          <w:szCs w:val="28"/>
        </w:rPr>
      </w:pPr>
      <w:r>
        <w:rPr>
          <w:b/>
          <w:bCs/>
          <w:sz w:val="28"/>
          <w:szCs w:val="28"/>
        </w:rPr>
        <w:t>Form 6-K</w:t>
      </w:r>
    </w:p>
    <w:p>
      <w:pPr>
        <w:pStyle w:val="NormalWeb"/>
        <w:spacing w:before="0" w:beforeAutospacing="0" w:after="0" w:afterAutospacing="0"/>
        <w:jc w:val="center"/>
        <w:rPr>
          <w:sz w:val="20"/>
          <w:szCs w:val="20"/>
        </w:rPr>
      </w:pPr>
      <w:r>
        <w:rPr>
          <w:sz w:val="20"/>
          <w:szCs w:val="20"/>
        </w:rPr>
        <w:t> </w:t>
      </w:r>
    </w:p>
    <w:p>
      <w:pPr>
        <w:pStyle w:val="NormalWeb"/>
        <w:spacing w:before="0" w:beforeAutospacing="0" w:after="0" w:afterAutospacing="0"/>
        <w:jc w:val="center"/>
        <w:rPr>
          <w:sz w:val="20"/>
          <w:szCs w:val="20"/>
        </w:rPr>
      </w:pPr>
      <w:r>
        <w:rPr>
          <w:b/>
          <w:bCs/>
          <w:sz w:val="20"/>
          <w:szCs w:val="20"/>
        </w:rPr>
        <w:t>REPORT OF FOREIGN PRIVATE ISSUER PURSUANT TO RULE 13A-16 OR 15D-16</w:t>
      </w:r>
    </w:p>
    <w:p>
      <w:pPr>
        <w:pStyle w:val="NormalWeb"/>
        <w:spacing w:before="0" w:beforeAutospacing="0" w:after="0" w:afterAutospacing="0"/>
        <w:jc w:val="center"/>
        <w:rPr>
          <w:sz w:val="20"/>
          <w:szCs w:val="20"/>
        </w:rPr>
      </w:pPr>
      <w:r>
        <w:rPr>
          <w:b/>
          <w:bCs/>
          <w:sz w:val="20"/>
          <w:szCs w:val="20"/>
        </w:rPr>
        <w:t>UNDER THE SECURITIES EXCHANGE ACT OF 1934</w:t>
      </w:r>
    </w:p>
    <w:p>
      <w:pPr>
        <w:pStyle w:val="NormalWeb"/>
        <w:spacing w:before="0" w:beforeAutospacing="0" w:after="0" w:afterAutospacing="0"/>
        <w:jc w:val="center"/>
        <w:rPr>
          <w:sz w:val="20"/>
          <w:szCs w:val="20"/>
        </w:rPr>
      </w:pPr>
      <w:r>
        <w:rPr>
          <w:sz w:val="20"/>
          <w:szCs w:val="20"/>
        </w:rPr>
        <w:t> </w:t>
      </w:r>
    </w:p>
    <w:p>
      <w:pPr>
        <w:pStyle w:val="NormalWeb"/>
        <w:spacing w:before="0" w:beforeAutospacing="0" w:after="0" w:afterAutospacing="0"/>
        <w:jc w:val="center"/>
        <w:rPr>
          <w:sz w:val="20"/>
          <w:szCs w:val="20"/>
        </w:rPr>
      </w:pPr>
      <w:r>
        <w:rPr>
          <w:sz w:val="20"/>
          <w:szCs w:val="20"/>
        </w:rPr>
        <w:t>For the month of September 2023</w:t>
      </w:r>
    </w:p>
    <w:p>
      <w:pPr>
        <w:pStyle w:val="NormalWeb"/>
        <w:spacing w:before="0" w:beforeAutospacing="0" w:after="0" w:afterAutospacing="0"/>
        <w:jc w:val="center"/>
        <w:rPr>
          <w:sz w:val="20"/>
          <w:szCs w:val="20"/>
        </w:rPr>
      </w:pPr>
      <w:r>
        <w:rPr>
          <w:sz w:val="20"/>
          <w:szCs w:val="20"/>
        </w:rPr>
        <w:t>Commission File Number: 001-41641</w:t>
      </w:r>
    </w:p>
    <w:p>
      <w:pPr>
        <w:pStyle w:val="NormalWeb"/>
        <w:spacing w:before="0" w:beforeAutospacing="0" w:after="0" w:afterAutospacing="0"/>
        <w:jc w:val="center"/>
        <w:rPr>
          <w:sz w:val="20"/>
          <w:szCs w:val="20"/>
        </w:rPr>
      </w:pPr>
      <w:r>
        <w:rPr>
          <w:sz w:val="20"/>
          <w:szCs w:val="20"/>
        </w:rPr>
        <w:t> </w:t>
      </w:r>
    </w:p>
    <w:p>
      <w:pPr>
        <w:pStyle w:val="NormalWeb"/>
        <w:spacing w:before="0" w:beforeAutospacing="0" w:after="0" w:afterAutospacing="0"/>
        <w:jc w:val="center"/>
        <w:rPr>
          <w:sz w:val="20"/>
          <w:szCs w:val="20"/>
        </w:rPr>
      </w:pPr>
      <w:r>
        <w:rPr>
          <w:b/>
          <w:bCs/>
          <w:sz w:val="28"/>
          <w:szCs w:val="28"/>
        </w:rPr>
        <w:t>SHL TELEMEDICINE LTD.</w:t>
      </w:r>
    </w:p>
    <w:p>
      <w:pPr>
        <w:pStyle w:val="NormalWeb"/>
        <w:spacing w:before="0" w:beforeAutospacing="0" w:after="0" w:afterAutospacing="0"/>
        <w:jc w:val="center"/>
        <w:rPr>
          <w:sz w:val="20"/>
          <w:szCs w:val="20"/>
        </w:rPr>
      </w:pPr>
      <w:r>
        <w:rPr>
          <w:sz w:val="20"/>
          <w:szCs w:val="20"/>
        </w:rPr>
        <w:t>(Translation of registrant’s name into English)</w:t>
      </w:r>
    </w:p>
    <w:p>
      <w:pPr>
        <w:pStyle w:val="NormalWeb"/>
        <w:spacing w:before="0" w:beforeAutospacing="0" w:after="0" w:afterAutospacing="0"/>
        <w:jc w:val="center"/>
        <w:rPr>
          <w:sz w:val="20"/>
          <w:szCs w:val="20"/>
        </w:rPr>
      </w:pPr>
      <w:r>
        <w:rPr>
          <w:sz w:val="20"/>
          <w:szCs w:val="20"/>
        </w:rPr>
        <w:t> </w:t>
      </w:r>
    </w:p>
    <w:p>
      <w:pPr>
        <w:pStyle w:val="NormalWeb"/>
        <w:spacing w:before="0" w:beforeAutospacing="0" w:after="0" w:afterAutospacing="0"/>
        <w:jc w:val="center"/>
        <w:rPr>
          <w:sz w:val="20"/>
          <w:szCs w:val="20"/>
        </w:rPr>
      </w:pPr>
      <w:r>
        <w:rPr>
          <w:b/>
          <w:bCs/>
          <w:sz w:val="20"/>
          <w:szCs w:val="20"/>
        </w:rPr>
        <w:t>90 Yigal Alon Street</w:t>
      </w:r>
    </w:p>
    <w:p>
      <w:pPr>
        <w:pStyle w:val="NormalWeb"/>
        <w:spacing w:before="0" w:beforeAutospacing="0" w:after="0" w:afterAutospacing="0"/>
        <w:jc w:val="center"/>
        <w:rPr>
          <w:sz w:val="20"/>
          <w:szCs w:val="20"/>
        </w:rPr>
      </w:pPr>
      <w:r>
        <w:rPr>
          <w:b/>
          <w:bCs/>
          <w:sz w:val="20"/>
          <w:szCs w:val="20"/>
        </w:rPr>
        <w:t>Tel Aviv 67891, Israel</w:t>
      </w:r>
    </w:p>
    <w:p>
      <w:pPr>
        <w:pStyle w:val="NormalWeb"/>
        <w:spacing w:before="0" w:beforeAutospacing="0" w:after="0" w:afterAutospacing="0"/>
        <w:jc w:val="center"/>
        <w:rPr>
          <w:sz w:val="20"/>
          <w:szCs w:val="20"/>
        </w:rPr>
      </w:pPr>
      <w:r>
        <w:rPr>
          <w:sz w:val="20"/>
          <w:szCs w:val="20"/>
        </w:rPr>
        <w:t>(Address of principal executive offices)</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Indicate by check mark whether the registrant files or will file annual reports under cover Form 20-F or Form 40-F.</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center"/>
        <w:rPr>
          <w:sz w:val="20"/>
          <w:szCs w:val="20"/>
        </w:rPr>
      </w:pPr>
      <w:r>
        <w:rPr>
          <w:sz w:val="20"/>
          <w:szCs w:val="20"/>
        </w:rPr>
        <w:t xml:space="preserve">Form 20-F </w:t>
      </w:r>
      <w:r>
        <w:rPr>
          <w:rFonts w:ascii="Wingdings" w:hAnsi="Wingdings"/>
          <w:sz w:val="20"/>
          <w:szCs w:val="20"/>
        </w:rPr>
        <w:t>x</w:t>
      </w:r>
      <w:r>
        <w:rPr>
          <w:sz w:val="20"/>
          <w:szCs w:val="20"/>
        </w:rPr>
        <w:t xml:space="preserve">               Form 40-F </w:t>
      </w:r>
      <w:r>
        <w:rPr>
          <w:rFonts w:ascii="Wingdings" w:hAnsi="Wingdings"/>
          <w:sz w:val="20"/>
          <w:szCs w:val="20"/>
        </w:rPr>
        <w:t>¨</w:t>
      </w:r>
    </w:p>
    <w:p>
      <w:pPr>
        <w:pStyle w:val="NormalWeb"/>
        <w:spacing w:before="0" w:beforeAutospacing="0" w:after="0" w:afterAutospacing="0"/>
        <w:rPr>
          <w:sz w:val="20"/>
          <w:szCs w:val="20"/>
        </w:rPr>
      </w:pPr>
      <w:r>
        <w:rPr>
          <w:sz w:val="20"/>
          <w:szCs w:val="20"/>
        </w:rPr>
        <w:t> </w:t>
      </w:r>
    </w:p>
    <w:p>
      <w:pPr>
        <w:divId w:val="1291520259"/>
        <w:rPr>
          <w:rFonts w:eastAsia="Times New Roman"/>
          <w:sz w:val="2"/>
          <w:szCs w:val="2"/>
        </w:rPr>
      </w:pPr>
      <w:r>
        <w:rPr>
          <w:rFonts w:eastAsia="Times New Roman"/>
          <w:sz w:val="2"/>
          <w:szCs w:val="2"/>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divId w:val="853953671"/>
        <w:rPr>
          <w:sz w:val="20"/>
          <w:szCs w:val="20"/>
        </w:rPr>
      </w:pPr>
      <w:r>
        <w:rPr>
          <w:sz w:val="20"/>
          <w:szCs w:val="20"/>
        </w:rPr>
        <w:t> </w:t>
      </w:r>
    </w:p>
    <w:p>
      <w:pPr>
        <w:pStyle w:val="NormalWeb"/>
        <w:pageBreakBefore/>
        <w:spacing w:before="0" w:beforeAutospacing="0" w:after="0" w:afterAutospacing="0"/>
        <w:divId w:val="1962612913"/>
        <w:rPr>
          <w:sz w:val="20"/>
          <w:szCs w:val="20"/>
        </w:rPr>
      </w:pPr>
      <w:r>
        <w:rPr>
          <w:sz w:val="20"/>
          <w:szCs w:val="20"/>
        </w:rPr>
        <w:lastRenderedPageBreak/>
        <w:t> </w:t>
      </w:r>
    </w:p>
    <w:p>
      <w:pPr>
        <w:pStyle w:val="NormalWeb"/>
        <w:spacing w:before="0" w:beforeAutospacing="0" w:after="0" w:afterAutospacing="0"/>
        <w:divId w:val="1021124316"/>
        <w:rPr>
          <w:sz w:val="20"/>
          <w:szCs w:val="20"/>
        </w:rPr>
      </w:pP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center"/>
        <w:rPr>
          <w:sz w:val="20"/>
          <w:szCs w:val="20"/>
        </w:rPr>
      </w:pPr>
      <w:r>
        <w:rPr>
          <w:b/>
          <w:bCs/>
          <w:sz w:val="20"/>
          <w:szCs w:val="20"/>
        </w:rPr>
        <w:t>EXPLANATORY NOTE</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ind w:firstLine="720"/>
        <w:jc w:val="both"/>
        <w:rPr>
          <w:sz w:val="20"/>
          <w:szCs w:val="20"/>
        </w:rPr>
      </w:pPr>
      <w:r>
        <w:rPr>
          <w:sz w:val="20"/>
          <w:szCs w:val="20"/>
        </w:rPr>
        <w:t>On September 21, 2023, SHL Telemedicine Ltd. (the “</w:t>
      </w:r>
      <w:r>
        <w:rPr>
          <w:sz w:val="20"/>
          <w:szCs w:val="20"/>
          <w:u w:val="single"/>
        </w:rPr>
        <w:t>Company</w:t>
      </w:r>
      <w:r>
        <w:rPr>
          <w:sz w:val="20"/>
          <w:szCs w:val="20"/>
        </w:rPr>
        <w:t>”) issued a press release and an investor presentation with respect to its half-year 2023 fiscal results, copies of which are furnished herewith as Exhibits 99.1 and 99.2, respectively, and are incorporated by reference herein. The press release and investor presentation contain forward-looking statements and include cautionary statements identifying important factors that could cause actual results to differ materially from those in the forward-looking statements.</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ind w:firstLine="720"/>
        <w:jc w:val="both"/>
        <w:rPr>
          <w:sz w:val="20"/>
          <w:szCs w:val="20"/>
        </w:rPr>
      </w:pPr>
      <w:r>
        <w:rPr>
          <w:sz w:val="20"/>
          <w:szCs w:val="20"/>
        </w:rPr>
        <w:t>In addition, on the same day, the Company issued a report (the “</w:t>
      </w:r>
      <w:r>
        <w:rPr>
          <w:sz w:val="20"/>
          <w:szCs w:val="20"/>
          <w:u w:val="single"/>
        </w:rPr>
        <w:t>Report</w:t>
      </w:r>
      <w:r>
        <w:rPr>
          <w:sz w:val="20"/>
          <w:szCs w:val="20"/>
        </w:rPr>
        <w:t>”) with respect to its half-year 2023 fiscal results, which contains unaudited interim condensed consolidated financial statements as of and for the six months ended June 30, 2023. A copy of the Report is furnished herewith as Exhibit 99.3 and incorporated by reference herein. The Report contains forward-looking statements and includes cautionary statements identifying important factors that could cause actual results to differ materially from those in the forward-looking statements.</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ind w:firstLine="720"/>
        <w:jc w:val="both"/>
        <w:rPr>
          <w:sz w:val="20"/>
          <w:szCs w:val="20"/>
        </w:rPr>
      </w:pPr>
      <w:r>
        <w:rPr>
          <w:sz w:val="20"/>
          <w:szCs w:val="20"/>
          <w:shd w:val="clear" w:color="auto" w:fill="FFFFFF"/>
        </w:rPr>
        <w:t xml:space="preserve">This Form 6-K is incorporated by reference into the Company's Registration Statement on </w:t>
      </w:r>
      <w:hyperlink r:id="rId4" w:history="1">
        <w:r>
          <w:rPr>
            <w:rStyle w:val="Hyperlink"/>
            <w:sz w:val="20"/>
            <w:szCs w:val="20"/>
            <w:shd w:val="clear" w:color="auto" w:fill="FFFFFF"/>
          </w:rPr>
          <w:t>Form S-8 filed with the Securities and Exchange Commission on June 9, 2023 (Registration No. 333-272546)</w:t>
        </w:r>
      </w:hyperlink>
      <w:r>
        <w:rPr>
          <w:sz w:val="20"/>
          <w:szCs w:val="20"/>
          <w:shd w:val="clear" w:color="auto" w:fill="FFFFFF"/>
        </w:rPr>
        <w:t>.</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divId w:val="1803233694"/>
        <w:rPr>
          <w:sz w:val="20"/>
          <w:szCs w:val="20"/>
        </w:rPr>
      </w:pPr>
      <w:r>
        <w:rPr>
          <w:sz w:val="20"/>
          <w:szCs w:val="20"/>
        </w:rPr>
        <w:t> </w:t>
      </w:r>
    </w:p>
    <w:p>
      <w:pPr>
        <w:pStyle w:val="NormalWeb"/>
        <w:pageBreakBefore/>
        <w:spacing w:before="0" w:beforeAutospacing="0" w:after="0" w:afterAutospacing="0"/>
        <w:divId w:val="461073524"/>
        <w:rPr>
          <w:sz w:val="20"/>
          <w:szCs w:val="20"/>
        </w:rPr>
      </w:pPr>
      <w:r>
        <w:rPr>
          <w:sz w:val="20"/>
          <w:szCs w:val="20"/>
        </w:rPr>
        <w:lastRenderedPageBreak/>
        <w:t> </w:t>
      </w:r>
    </w:p>
    <w:p>
      <w:pPr>
        <w:pStyle w:val="NormalWeb"/>
        <w:spacing w:before="0" w:beforeAutospacing="0" w:after="0" w:afterAutospacing="0"/>
        <w:divId w:val="1155220147"/>
        <w:rPr>
          <w:sz w:val="20"/>
          <w:szCs w:val="20"/>
        </w:rPr>
      </w:pPr>
      <w:r>
        <w:rPr>
          <w:sz w:val="20"/>
          <w:szCs w:val="20"/>
        </w:rPr>
        <w:t> </w:t>
      </w:r>
    </w:p>
    <w:p>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1080"/>
        <w:gridCol w:w="9000"/>
      </w:tblGrid>
      <w:tr>
        <w:trPr>
          <w:tblCellSpacing w:w="0" w:type="dxa"/>
        </w:trPr>
        <w:tc>
          <w:tcPr>
            <w:tcW w:w="0" w:type="auto"/>
            <w:hideMark/>
          </w:tcPr>
          <w:p>
            <w:pPr>
              <w:rPr>
                <w:rFonts w:eastAsia="Times New Roman"/>
                <w:sz w:val="20"/>
                <w:szCs w:val="20"/>
              </w:rPr>
            </w:pPr>
            <w:r>
              <w:rPr>
                <w:rFonts w:eastAsia="Times New Roman"/>
                <w:sz w:val="20"/>
                <w:szCs w:val="20"/>
                <w:u w:val="single"/>
              </w:rPr>
              <w:t>Exhibit</w:t>
            </w:r>
            <w:r>
              <w:rPr>
                <w:rFonts w:eastAsia="Times New Roman"/>
                <w:sz w:val="20"/>
                <w:szCs w:val="20"/>
              </w:rPr>
              <w:t> </w:t>
            </w:r>
          </w:p>
        </w:tc>
        <w:tc>
          <w:tcPr>
            <w:tcW w:w="0" w:type="auto"/>
            <w:hideMark/>
          </w:tcPr>
          <w:p>
            <w:pPr>
              <w:jc w:val="both"/>
              <w:rPr>
                <w:rFonts w:eastAsia="Times New Roman"/>
                <w:sz w:val="20"/>
                <w:szCs w:val="20"/>
              </w:rPr>
            </w:pPr>
            <w:r>
              <w:rPr>
                <w:rFonts w:eastAsia="Times New Roman"/>
                <w:sz w:val="20"/>
                <w:szCs w:val="20"/>
                <w:u w:val="single"/>
              </w:rPr>
              <w:t>Description</w:t>
            </w:r>
          </w:p>
        </w:tc>
      </w:tr>
      <w:tr>
        <w:trPr>
          <w:tblCellSpacing w:w="0" w:type="dxa"/>
        </w:trPr>
        <w:tc>
          <w:tcPr>
            <w:tcW w:w="0" w:type="auto"/>
            <w:hideMark/>
          </w:tcPr>
          <w:p>
            <w:pPr>
              <w:rPr>
                <w:rFonts w:eastAsia="Times New Roman"/>
                <w:sz w:val="20"/>
                <w:szCs w:val="20"/>
              </w:rPr>
            </w:pPr>
            <w:r>
              <w:rPr>
                <w:rFonts w:eastAsia="Times New Roman"/>
                <w:sz w:val="20"/>
                <w:szCs w:val="20"/>
              </w:rPr>
              <w:t> </w:t>
            </w:r>
          </w:p>
        </w:tc>
        <w:tc>
          <w:tcPr>
            <w:tcW w:w="0" w:type="auto"/>
            <w:hideMark/>
          </w:tcPr>
          <w:p>
            <w:pPr>
              <w:jc w:val="both"/>
              <w:rPr>
                <w:rFonts w:eastAsia="Times New Roman"/>
                <w:sz w:val="20"/>
                <w:szCs w:val="20"/>
              </w:rPr>
            </w:pPr>
            <w:r>
              <w:rPr>
                <w:rFonts w:eastAsia="Times New Roman"/>
                <w:sz w:val="20"/>
                <w:szCs w:val="20"/>
              </w:rPr>
              <w:t> </w:t>
            </w:r>
          </w:p>
        </w:tc>
      </w:tr>
      <w:tr>
        <w:trPr>
          <w:tblCellSpacing w:w="0" w:type="dxa"/>
        </w:trPr>
        <w:tc>
          <w:tcPr>
            <w:tcW w:w="1080" w:type="dxa"/>
            <w:hideMark/>
          </w:tcPr>
          <w:p>
            <w:pPr>
              <w:rPr>
                <w:rFonts w:eastAsia="Times New Roman"/>
                <w:sz w:val="20"/>
                <w:szCs w:val="20"/>
              </w:rPr>
            </w:pPr>
            <w:hyperlink r:id="rId5" w:history="1">
              <w:r>
                <w:rPr>
                  <w:rStyle w:val="Hyperlink"/>
                  <w:rFonts w:eastAsia="Times New Roman"/>
                  <w:sz w:val="20"/>
                  <w:szCs w:val="20"/>
                </w:rPr>
                <w:t>99.1</w:t>
              </w:r>
            </w:hyperlink>
          </w:p>
        </w:tc>
        <w:tc>
          <w:tcPr>
            <w:tcW w:w="0" w:type="auto"/>
            <w:hideMark/>
          </w:tcPr>
          <w:p>
            <w:pPr>
              <w:jc w:val="both"/>
              <w:rPr>
                <w:rFonts w:eastAsia="Times New Roman"/>
                <w:sz w:val="20"/>
                <w:szCs w:val="20"/>
              </w:rPr>
            </w:pPr>
            <w:hyperlink r:id="rId6" w:history="1">
              <w:r>
                <w:rPr>
                  <w:rStyle w:val="Hyperlink"/>
                  <w:rFonts w:eastAsia="Times New Roman"/>
                  <w:sz w:val="20"/>
                  <w:szCs w:val="20"/>
                </w:rPr>
                <w:t>Press release, dated September 21, 2023, with respect to half-year 2023 financial results.</w:t>
              </w:r>
            </w:hyperlink>
          </w:p>
        </w:tc>
      </w:tr>
      <w:tr>
        <w:trPr>
          <w:tblCellSpacing w:w="0" w:type="dxa"/>
        </w:trPr>
        <w:tc>
          <w:tcPr>
            <w:tcW w:w="1080" w:type="dxa"/>
            <w:hideMark/>
          </w:tcPr>
          <w:p>
            <w:pPr>
              <w:rPr>
                <w:rFonts w:eastAsia="Times New Roman"/>
                <w:sz w:val="20"/>
                <w:szCs w:val="20"/>
              </w:rPr>
            </w:pPr>
            <w:hyperlink r:id="rId7" w:history="1">
              <w:r>
                <w:rPr>
                  <w:rStyle w:val="Hyperlink"/>
                  <w:rFonts w:eastAsia="Times New Roman"/>
                  <w:sz w:val="20"/>
                  <w:szCs w:val="20"/>
                </w:rPr>
                <w:t>99.2</w:t>
              </w:r>
            </w:hyperlink>
          </w:p>
        </w:tc>
        <w:tc>
          <w:tcPr>
            <w:tcW w:w="0" w:type="auto"/>
            <w:hideMark/>
          </w:tcPr>
          <w:p>
            <w:pPr>
              <w:jc w:val="both"/>
              <w:rPr>
                <w:rFonts w:eastAsia="Times New Roman"/>
                <w:sz w:val="20"/>
                <w:szCs w:val="20"/>
              </w:rPr>
            </w:pPr>
            <w:hyperlink r:id="rId8" w:history="1">
              <w:r>
                <w:rPr>
                  <w:rStyle w:val="Hyperlink"/>
                  <w:rFonts w:eastAsia="Times New Roman"/>
                  <w:sz w:val="20"/>
                  <w:szCs w:val="20"/>
                </w:rPr>
                <w:t>Investor Presentation issued on September 21, 2023, with respect to half-year 2023 financial results.</w:t>
              </w:r>
            </w:hyperlink>
          </w:p>
        </w:tc>
      </w:tr>
      <w:tr>
        <w:trPr>
          <w:tblCellSpacing w:w="0" w:type="dxa"/>
        </w:trPr>
        <w:tc>
          <w:tcPr>
            <w:tcW w:w="1080" w:type="dxa"/>
            <w:hideMark/>
          </w:tcPr>
          <w:p>
            <w:pPr>
              <w:rPr>
                <w:rFonts w:eastAsia="Times New Roman"/>
                <w:sz w:val="20"/>
                <w:szCs w:val="20"/>
              </w:rPr>
            </w:pPr>
            <w:hyperlink r:id="rId9" w:history="1">
              <w:r>
                <w:rPr>
                  <w:rStyle w:val="Hyperlink"/>
                  <w:rFonts w:eastAsia="Times New Roman"/>
                  <w:sz w:val="20"/>
                  <w:szCs w:val="20"/>
                </w:rPr>
                <w:t>99.3</w:t>
              </w:r>
            </w:hyperlink>
          </w:p>
        </w:tc>
        <w:tc>
          <w:tcPr>
            <w:tcW w:w="0" w:type="auto"/>
            <w:hideMark/>
          </w:tcPr>
          <w:p>
            <w:pPr>
              <w:jc w:val="both"/>
              <w:rPr>
                <w:rFonts w:eastAsia="Times New Roman"/>
                <w:sz w:val="20"/>
                <w:szCs w:val="20"/>
              </w:rPr>
            </w:pPr>
            <w:hyperlink r:id="rId10" w:history="1">
              <w:r>
                <w:rPr>
                  <w:rStyle w:val="Hyperlink"/>
                  <w:rFonts w:eastAsia="Times New Roman"/>
                  <w:sz w:val="20"/>
                  <w:szCs w:val="20"/>
                </w:rPr>
                <w:t>Report with respect to half-year 2023 fiscal results, which contains unaudited interim condensed consolidated financial statements as of and for the six months ended June 30, 2023.</w:t>
              </w:r>
            </w:hyperlink>
          </w:p>
        </w:tc>
      </w:tr>
    </w:tbl>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divId w:val="1750881855"/>
        <w:rPr>
          <w:sz w:val="20"/>
          <w:szCs w:val="20"/>
        </w:rPr>
      </w:pPr>
      <w:r>
        <w:rPr>
          <w:sz w:val="20"/>
          <w:szCs w:val="20"/>
        </w:rPr>
        <w:t> </w:t>
      </w:r>
    </w:p>
    <w:p>
      <w:pPr>
        <w:pStyle w:val="NormalWeb"/>
        <w:pageBreakBefore/>
        <w:spacing w:before="0" w:beforeAutospacing="0" w:after="0" w:afterAutospacing="0"/>
        <w:divId w:val="1457140667"/>
        <w:rPr>
          <w:sz w:val="20"/>
          <w:szCs w:val="20"/>
        </w:rPr>
      </w:pPr>
      <w:r>
        <w:rPr>
          <w:sz w:val="20"/>
          <w:szCs w:val="20"/>
        </w:rPr>
        <w:lastRenderedPageBreak/>
        <w:t> </w:t>
      </w:r>
    </w:p>
    <w:p>
      <w:pPr>
        <w:pStyle w:val="NormalWeb"/>
        <w:spacing w:before="0" w:beforeAutospacing="0" w:after="0" w:afterAutospacing="0"/>
        <w:divId w:val="645672276"/>
        <w:rPr>
          <w:sz w:val="20"/>
          <w:szCs w:val="20"/>
        </w:rPr>
      </w:pP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center"/>
        <w:rPr>
          <w:sz w:val="20"/>
          <w:szCs w:val="20"/>
        </w:rPr>
      </w:pPr>
      <w:r>
        <w:rPr>
          <w:b/>
          <w:bCs/>
          <w:sz w:val="20"/>
          <w:szCs w:val="20"/>
        </w:rPr>
        <w:t>SIGNATURE</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ind w:firstLine="720"/>
        <w:jc w:val="both"/>
        <w:rPr>
          <w:sz w:val="20"/>
          <w:szCs w:val="20"/>
        </w:rPr>
      </w:pPr>
      <w:r>
        <w:rPr>
          <w:sz w:val="20"/>
          <w:szCs w:val="20"/>
        </w:rPr>
        <w:t>Pursuant to the requirements of the Securities Exchange Act of 1934, the registrant has duly caused this report to be signed on its behalf by the undersigned, thereunto duly authorized.</w:t>
      </w:r>
    </w:p>
    <w:p>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5040"/>
        <w:gridCol w:w="5040"/>
      </w:tblGrid>
      <w:tr>
        <w:trPr>
          <w:tblCellSpacing w:w="0" w:type="dxa"/>
        </w:trPr>
        <w:tc>
          <w:tcPr>
            <w:tcW w:w="2500" w:type="pct"/>
            <w:hideMark/>
          </w:tcPr>
          <w:p>
            <w:pPr>
              <w:rPr>
                <w:rFonts w:eastAsia="Times New Roman"/>
                <w:sz w:val="20"/>
                <w:szCs w:val="20"/>
              </w:rPr>
            </w:pPr>
            <w:r>
              <w:rPr>
                <w:rFonts w:eastAsia="Times New Roman"/>
                <w:sz w:val="20"/>
                <w:szCs w:val="20"/>
              </w:rPr>
              <w:t> </w:t>
            </w:r>
          </w:p>
        </w:tc>
        <w:tc>
          <w:tcPr>
            <w:tcW w:w="2500" w:type="pct"/>
            <w:hideMark/>
          </w:tcPr>
          <w:p>
            <w:pPr>
              <w:jc w:val="both"/>
              <w:rPr>
                <w:rFonts w:eastAsia="Times New Roman"/>
                <w:sz w:val="20"/>
                <w:szCs w:val="20"/>
              </w:rPr>
            </w:pPr>
            <w:r>
              <w:rPr>
                <w:rFonts w:eastAsia="Times New Roman"/>
                <w:b/>
                <w:bCs/>
                <w:sz w:val="20"/>
                <w:szCs w:val="20"/>
              </w:rPr>
              <w:t>SHL Telemedicine Ltd.</w:t>
            </w:r>
          </w:p>
        </w:tc>
      </w:tr>
    </w:tbl>
    <w:p>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5040"/>
        <w:gridCol w:w="302"/>
        <w:gridCol w:w="4738"/>
      </w:tblGrid>
      <w:tr>
        <w:trPr>
          <w:tblCellSpacing w:w="0" w:type="dxa"/>
        </w:trPr>
        <w:tc>
          <w:tcPr>
            <w:tcW w:w="2500" w:type="pct"/>
            <w:hideMark/>
          </w:tcPr>
          <w:p>
            <w:pPr>
              <w:rPr>
                <w:sz w:val="20"/>
                <w:szCs w:val="20"/>
              </w:rPr>
            </w:pPr>
          </w:p>
        </w:tc>
        <w:tc>
          <w:tcPr>
            <w:tcW w:w="150" w:type="pct"/>
            <w:hideMark/>
          </w:tcPr>
          <w:p>
            <w:pPr>
              <w:rPr>
                <w:rFonts w:eastAsia="Times New Roman"/>
                <w:sz w:val="20"/>
                <w:szCs w:val="20"/>
              </w:rPr>
            </w:pPr>
            <w:r>
              <w:rPr>
                <w:rFonts w:eastAsia="Times New Roman"/>
                <w:sz w:val="20"/>
                <w:szCs w:val="20"/>
              </w:rPr>
              <w:t>By:</w:t>
            </w:r>
          </w:p>
        </w:tc>
        <w:tc>
          <w:tcPr>
            <w:tcW w:w="2350" w:type="pct"/>
            <w:tcBorders>
              <w:bottom w:val="single" w:sz="8" w:space="0" w:color="000000"/>
            </w:tcBorders>
            <w:hideMark/>
          </w:tcPr>
          <w:p>
            <w:pPr>
              <w:jc w:val="both"/>
              <w:rPr>
                <w:rFonts w:eastAsia="Times New Roman"/>
                <w:sz w:val="20"/>
                <w:szCs w:val="20"/>
              </w:rPr>
            </w:pPr>
            <w:r>
              <w:rPr>
                <w:rFonts w:eastAsia="Times New Roman"/>
                <w:sz w:val="20"/>
                <w:szCs w:val="20"/>
              </w:rPr>
              <w:t>/s/ Amir Hai</w:t>
            </w:r>
          </w:p>
        </w:tc>
      </w:tr>
      <w:tr>
        <w:trPr>
          <w:tblCellSpacing w:w="0" w:type="dxa"/>
        </w:trPr>
        <w:tc>
          <w:tcPr>
            <w:tcW w:w="0" w:type="auto"/>
            <w:hideMark/>
          </w:tcPr>
          <w:p>
            <w:pPr>
              <w:jc w:val="both"/>
              <w:rPr>
                <w:rFonts w:eastAsia="Times New Roman"/>
                <w:sz w:val="20"/>
                <w:szCs w:val="20"/>
              </w:rPr>
            </w:pPr>
            <w:r>
              <w:rPr>
                <w:rFonts w:eastAsia="Times New Roman"/>
                <w:sz w:val="20"/>
                <w:szCs w:val="20"/>
              </w:rPr>
              <w:t> </w:t>
            </w:r>
          </w:p>
        </w:tc>
        <w:tc>
          <w:tcPr>
            <w:tcW w:w="0" w:type="auto"/>
            <w:hideMark/>
          </w:tcPr>
          <w:p>
            <w:pPr>
              <w:rPr>
                <w:rFonts w:eastAsia="Times New Roman"/>
                <w:sz w:val="20"/>
                <w:szCs w:val="20"/>
              </w:rPr>
            </w:pPr>
            <w:r>
              <w:rPr>
                <w:rFonts w:eastAsia="Times New Roman"/>
                <w:sz w:val="20"/>
                <w:szCs w:val="20"/>
              </w:rPr>
              <w:t> </w:t>
            </w:r>
          </w:p>
        </w:tc>
        <w:tc>
          <w:tcPr>
            <w:tcW w:w="0" w:type="auto"/>
            <w:hideMark/>
          </w:tcPr>
          <w:p>
            <w:pPr>
              <w:jc w:val="both"/>
              <w:rPr>
                <w:rFonts w:eastAsia="Times New Roman"/>
                <w:sz w:val="20"/>
                <w:szCs w:val="20"/>
              </w:rPr>
            </w:pPr>
            <w:r>
              <w:rPr>
                <w:rFonts w:eastAsia="Times New Roman"/>
                <w:sz w:val="20"/>
                <w:szCs w:val="20"/>
              </w:rPr>
              <w:t>Amir Hai </w:t>
            </w:r>
          </w:p>
        </w:tc>
      </w:tr>
      <w:tr>
        <w:trPr>
          <w:tblCellSpacing w:w="0" w:type="dxa"/>
        </w:trPr>
        <w:tc>
          <w:tcPr>
            <w:tcW w:w="0" w:type="auto"/>
            <w:hideMark/>
          </w:tcPr>
          <w:p>
            <w:pPr>
              <w:jc w:val="both"/>
              <w:rPr>
                <w:rFonts w:eastAsia="Times New Roman"/>
                <w:sz w:val="20"/>
                <w:szCs w:val="20"/>
              </w:rPr>
            </w:pPr>
            <w:r>
              <w:rPr>
                <w:rFonts w:eastAsia="Times New Roman"/>
                <w:sz w:val="20"/>
                <w:szCs w:val="20"/>
              </w:rPr>
              <w:t> </w:t>
            </w:r>
          </w:p>
        </w:tc>
        <w:tc>
          <w:tcPr>
            <w:tcW w:w="0" w:type="auto"/>
            <w:hideMark/>
          </w:tcPr>
          <w:p>
            <w:pPr>
              <w:rPr>
                <w:rFonts w:eastAsia="Times New Roman"/>
                <w:sz w:val="20"/>
                <w:szCs w:val="20"/>
              </w:rPr>
            </w:pPr>
            <w:r>
              <w:rPr>
                <w:rFonts w:eastAsia="Times New Roman"/>
                <w:sz w:val="20"/>
                <w:szCs w:val="20"/>
              </w:rPr>
              <w:t> </w:t>
            </w:r>
          </w:p>
        </w:tc>
        <w:tc>
          <w:tcPr>
            <w:tcW w:w="0" w:type="auto"/>
            <w:hideMark/>
          </w:tcPr>
          <w:p>
            <w:pPr>
              <w:jc w:val="both"/>
              <w:rPr>
                <w:rFonts w:eastAsia="Times New Roman"/>
                <w:sz w:val="20"/>
                <w:szCs w:val="20"/>
              </w:rPr>
            </w:pPr>
            <w:r>
              <w:rPr>
                <w:rFonts w:eastAsia="Times New Roman"/>
                <w:sz w:val="20"/>
                <w:szCs w:val="20"/>
              </w:rPr>
              <w:t>Chief Financial Officer</w:t>
            </w:r>
          </w:p>
        </w:tc>
      </w:tr>
    </w:tbl>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September 21, 2023</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divId w:val="2096321319"/>
        <w:rPr>
          <w:sz w:val="20"/>
          <w:szCs w:val="20"/>
        </w:rPr>
      </w:pPr>
      <w:r>
        <w:rPr>
          <w:sz w:val="20"/>
          <w:szCs w:val="20"/>
        </w:rPr>
        <w:t> </w:t>
      </w:r>
    </w:p>
    <w:p>
      <w:pPr>
        <w:pStyle w:val="NormalWeb"/>
        <w:spacing w:before="0" w:beforeAutospacing="0" w:after="0" w:afterAutospacing="0"/>
        <w:rPr>
          <w:sz w:val="20"/>
          <w:szCs w:val="20"/>
        </w:rPr>
      </w:pPr>
      <w:r>
        <w:rPr>
          <w:sz w:val="20"/>
          <w:szCs w:val="20"/>
        </w:rPr>
        <w:t> </w:t>
      </w:r>
    </w:p>
    <w:p>
      <w:pPr>
        <w:pStyle w:val="NormalWeb"/>
        <w:pageBreakBefore/>
        <w:spacing w:before="0" w:beforeAutospacing="0" w:after="0" w:afterAutospacing="0"/>
        <w:divId w:val="823398665"/>
        <w:rPr>
          <w:sz w:val="20"/>
          <w:szCs w:val="20"/>
        </w:rPr>
      </w:pPr>
      <w:r>
        <w:rPr>
          <w:sz w:val="20"/>
          <w:szCs w:val="20"/>
        </w:rPr>
        <w:lastRenderedPageBreak/>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right"/>
        <w:rPr>
          <w:sz w:val="20"/>
          <w:szCs w:val="20"/>
        </w:rPr>
      </w:pPr>
      <w:r>
        <w:rPr>
          <w:b/>
          <w:bCs/>
          <w:sz w:val="20"/>
          <w:szCs w:val="20"/>
        </w:rPr>
        <w:t>Exhibit 99.1</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noProof/>
          <w:sz w:val="20"/>
          <w:szCs w:val="20"/>
        </w:rPr>
        <w:drawing>
          <wp:inline distT="0" distB="0" distL="0" distR="0">
            <wp:extent cx="1885950" cy="885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85950" cy="885825"/>
                    </a:xfrm>
                    <a:prstGeom prst="rect">
                      <a:avLst/>
                    </a:prstGeom>
                    <a:noFill/>
                    <a:ln>
                      <a:noFill/>
                    </a:ln>
                  </pic:spPr>
                </pic:pic>
              </a:graphicData>
            </a:graphic>
          </wp:inline>
        </w:drawing>
      </w: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Press release</w:t>
      </w:r>
    </w:p>
    <w:p>
      <w:pPr>
        <w:pStyle w:val="NormalWeb"/>
        <w:spacing w:before="0" w:beforeAutospacing="0" w:after="0" w:afterAutospacing="0"/>
        <w:rPr>
          <w:sz w:val="20"/>
          <w:szCs w:val="20"/>
        </w:rPr>
      </w:pPr>
      <w:r>
        <w:rPr>
          <w:sz w:val="20"/>
          <w:szCs w:val="20"/>
        </w:rPr>
        <w:t>Ad hoc announcement pursuant to Art. 53 LR</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b/>
          <w:bCs/>
          <w:sz w:val="20"/>
          <w:szCs w:val="20"/>
        </w:rPr>
        <w:t>SHL announces half-year results 2023 – strategic moves to accelerate growth</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b/>
          <w:bCs/>
          <w:sz w:val="20"/>
          <w:szCs w:val="20"/>
        </w:rPr>
        <w:t>Tel Aviv / Zurich / New York, 21 September 2023</w:t>
      </w:r>
      <w:r>
        <w:rPr>
          <w:sz w:val="20"/>
          <w:szCs w:val="20"/>
        </w:rPr>
        <w:t xml:space="preserve"> – SHL Telemedicine Ltd. (NASDAQ: SHLT; SIX Swiss Exchange: SHLTN) (“</w:t>
      </w:r>
      <w:r>
        <w:rPr>
          <w:b/>
          <w:bCs/>
          <w:sz w:val="20"/>
          <w:szCs w:val="20"/>
        </w:rPr>
        <w:t>SHL</w:t>
      </w:r>
      <w:r>
        <w:rPr>
          <w:sz w:val="20"/>
          <w:szCs w:val="20"/>
        </w:rPr>
        <w:t>” or the “</w:t>
      </w:r>
      <w:r>
        <w:rPr>
          <w:b/>
          <w:bCs/>
          <w:sz w:val="20"/>
          <w:szCs w:val="20"/>
        </w:rPr>
        <w:t>Company</w:t>
      </w:r>
      <w:r>
        <w:rPr>
          <w:sz w:val="20"/>
          <w:szCs w:val="20"/>
        </w:rPr>
        <w:t>”), a leading provider and developer of advanced personal telemedicine solutions, announced today its results for half-year 2023, emphasizing stable revenues and strategic growth initiatives.</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In H1 2023, SHL maintained stable revenues while making significant strategic advancements across all operations. The Company made substantial investments in Germany, where it launched the Doctors’ Virtual Visits services and then witnessed a steady increase in the adoption of the service. In the US, the Company witnessed the growing utilization and distribution of the SmartHeart® ECG platform by top-tier strategic customers, with ongoing rollouts to CVS MinuteClinic locations. Moreover, the Company’s long-standing operations in Israel remained robust and profitable.</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b/>
          <w:bCs/>
          <w:sz w:val="20"/>
          <w:szCs w:val="20"/>
        </w:rPr>
        <w:t>H1 2023 Financial Highlights:</w:t>
      </w:r>
    </w:p>
    <w:p>
      <w:pPr>
        <w:pStyle w:val="NormalWeb"/>
        <w:spacing w:before="0" w:beforeAutospacing="0" w:after="0" w:afterAutospacing="0"/>
        <w:rPr>
          <w:sz w:val="20"/>
          <w:szCs w:val="20"/>
        </w:rPr>
      </w:pPr>
      <w:r>
        <w:rPr>
          <w:b/>
          <w:bCs/>
          <w:sz w:val="20"/>
          <w:szCs w:val="20"/>
        </w:rPr>
        <w:t> </w:t>
      </w:r>
    </w:p>
    <w:p>
      <w:pPr>
        <w:pStyle w:val="NormalWeb"/>
        <w:spacing w:before="0" w:beforeAutospacing="0" w:after="0" w:afterAutospacing="0"/>
        <w:rPr>
          <w:sz w:val="20"/>
          <w:szCs w:val="20"/>
        </w:rPr>
      </w:pPr>
      <w:r>
        <w:rPr>
          <w:b/>
          <w:bCs/>
          <w:i/>
          <w:iCs/>
          <w:sz w:val="20"/>
          <w:szCs w:val="20"/>
        </w:rPr>
        <w:t>*</w:t>
      </w:r>
      <w:r>
        <w:rPr>
          <w:i/>
          <w:iCs/>
          <w:sz w:val="20"/>
          <w:szCs w:val="20"/>
        </w:rPr>
        <w:t>All comparable previous periods figures are in constant currency</w:t>
      </w:r>
      <w:r>
        <w:rPr>
          <w:i/>
          <w:iCs/>
          <w:sz w:val="20"/>
          <w:szCs w:val="20"/>
          <w:vertAlign w:val="superscript"/>
        </w:rPr>
        <w:t>1</w:t>
      </w:r>
      <w:r>
        <w:rPr>
          <w:i/>
          <w:iCs/>
          <w:sz w:val="20"/>
          <w:szCs w:val="20"/>
        </w:rPr>
        <w:t>.</w:t>
      </w:r>
    </w:p>
    <w:p>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9360"/>
      </w:tblGrid>
      <w:tr>
        <w:trPr>
          <w:tblCellSpacing w:w="0" w:type="dxa"/>
        </w:trPr>
        <w:tc>
          <w:tcPr>
            <w:tcW w:w="360" w:type="dxa"/>
            <w:hideMark/>
          </w:tcPr>
          <w:p>
            <w:pPr>
              <w:rPr>
                <w:sz w:val="20"/>
                <w:szCs w:val="20"/>
              </w:rPr>
            </w:pPr>
          </w:p>
        </w:tc>
        <w:tc>
          <w:tcPr>
            <w:tcW w:w="360" w:type="dxa"/>
            <w:hideMark/>
          </w:tcPr>
          <w:p>
            <w:pPr>
              <w:rPr>
                <w:rFonts w:eastAsia="Times New Roman"/>
                <w:sz w:val="20"/>
                <w:szCs w:val="20"/>
              </w:rPr>
            </w:pPr>
            <w:r>
              <w:rPr>
                <w:rFonts w:ascii="Symbol" w:eastAsia="Times New Roman" w:hAnsi="Symbol"/>
                <w:sz w:val="20"/>
                <w:szCs w:val="20"/>
              </w:rPr>
              <w:t>·</w:t>
            </w:r>
          </w:p>
        </w:tc>
        <w:tc>
          <w:tcPr>
            <w:tcW w:w="0" w:type="auto"/>
            <w:hideMark/>
          </w:tcPr>
          <w:p>
            <w:pPr>
              <w:jc w:val="both"/>
              <w:rPr>
                <w:rFonts w:eastAsia="Times New Roman"/>
                <w:sz w:val="20"/>
                <w:szCs w:val="20"/>
              </w:rPr>
            </w:pPr>
            <w:r>
              <w:rPr>
                <w:rFonts w:eastAsia="Times New Roman"/>
                <w:sz w:val="20"/>
                <w:szCs w:val="20"/>
              </w:rPr>
              <w:t>Total revenues rose to USD 29.0m, a slight increase from USD 28.8m in 1HY2022.</w:t>
            </w:r>
          </w:p>
        </w:tc>
      </w:tr>
    </w:tbl>
    <w:p>
      <w:pPr>
        <w:pStyle w:val="NormalWeb"/>
        <w:spacing w:before="0" w:beforeAutospacing="0" w:after="0" w:afterAutospacing="0"/>
        <w:jc w:val="both"/>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9360"/>
      </w:tblGrid>
      <w:tr>
        <w:trPr>
          <w:tblCellSpacing w:w="0" w:type="dxa"/>
        </w:trPr>
        <w:tc>
          <w:tcPr>
            <w:tcW w:w="360" w:type="dxa"/>
            <w:hideMark/>
          </w:tcPr>
          <w:p>
            <w:pPr>
              <w:rPr>
                <w:sz w:val="20"/>
                <w:szCs w:val="20"/>
              </w:rPr>
            </w:pPr>
          </w:p>
        </w:tc>
        <w:tc>
          <w:tcPr>
            <w:tcW w:w="360" w:type="dxa"/>
            <w:hideMark/>
          </w:tcPr>
          <w:p>
            <w:pPr>
              <w:jc w:val="both"/>
              <w:rPr>
                <w:rFonts w:eastAsia="Times New Roman"/>
                <w:sz w:val="20"/>
                <w:szCs w:val="20"/>
              </w:rPr>
            </w:pPr>
            <w:r>
              <w:rPr>
                <w:rFonts w:ascii="Symbol" w:eastAsia="Times New Roman" w:hAnsi="Symbol"/>
                <w:sz w:val="20"/>
                <w:szCs w:val="20"/>
              </w:rPr>
              <w:t>·</w:t>
            </w:r>
          </w:p>
        </w:tc>
        <w:tc>
          <w:tcPr>
            <w:tcW w:w="0" w:type="auto"/>
            <w:hideMark/>
          </w:tcPr>
          <w:p>
            <w:pPr>
              <w:jc w:val="both"/>
              <w:rPr>
                <w:rFonts w:eastAsia="Times New Roman"/>
                <w:sz w:val="20"/>
                <w:szCs w:val="20"/>
              </w:rPr>
            </w:pPr>
            <w:r>
              <w:rPr>
                <w:rFonts w:eastAsia="Times New Roman"/>
                <w:sz w:val="20"/>
                <w:szCs w:val="20"/>
              </w:rPr>
              <w:t>Revenues from the Company’s operation in Israel increased by 3% compared to 1HY2022, with revenues standing at USD 21.6m.</w:t>
            </w:r>
          </w:p>
        </w:tc>
      </w:tr>
    </w:tbl>
    <w:p>
      <w:pPr>
        <w:pStyle w:val="NormalWeb"/>
        <w:spacing w:before="0" w:beforeAutospacing="0" w:after="0" w:afterAutospacing="0"/>
        <w:jc w:val="both"/>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9360"/>
      </w:tblGrid>
      <w:tr>
        <w:trPr>
          <w:tblCellSpacing w:w="0" w:type="dxa"/>
        </w:trPr>
        <w:tc>
          <w:tcPr>
            <w:tcW w:w="360" w:type="dxa"/>
            <w:hideMark/>
          </w:tcPr>
          <w:p>
            <w:pPr>
              <w:rPr>
                <w:sz w:val="20"/>
                <w:szCs w:val="20"/>
              </w:rPr>
            </w:pPr>
          </w:p>
        </w:tc>
        <w:tc>
          <w:tcPr>
            <w:tcW w:w="360" w:type="dxa"/>
            <w:hideMark/>
          </w:tcPr>
          <w:p>
            <w:pPr>
              <w:jc w:val="both"/>
              <w:rPr>
                <w:rFonts w:eastAsia="Times New Roman"/>
                <w:sz w:val="20"/>
                <w:szCs w:val="20"/>
              </w:rPr>
            </w:pPr>
            <w:r>
              <w:rPr>
                <w:rFonts w:ascii="Symbol" w:eastAsia="Times New Roman" w:hAnsi="Symbol"/>
                <w:sz w:val="20"/>
                <w:szCs w:val="20"/>
              </w:rPr>
              <w:t>·</w:t>
            </w:r>
          </w:p>
        </w:tc>
        <w:tc>
          <w:tcPr>
            <w:tcW w:w="0" w:type="auto"/>
            <w:hideMark/>
          </w:tcPr>
          <w:p>
            <w:pPr>
              <w:jc w:val="both"/>
              <w:rPr>
                <w:rFonts w:eastAsia="Times New Roman"/>
                <w:sz w:val="20"/>
                <w:szCs w:val="20"/>
              </w:rPr>
            </w:pPr>
            <w:r>
              <w:rPr>
                <w:rFonts w:eastAsia="Times New Roman"/>
                <w:sz w:val="20"/>
                <w:szCs w:val="20"/>
              </w:rPr>
              <w:t>Revenues from the Company’s operation in Germany amounted to USD 6.8m, slightly down from USD 7.0m in 1HY2022 but up from USD 6.7m in 2HY2022.</w:t>
            </w:r>
          </w:p>
        </w:tc>
      </w:tr>
    </w:tbl>
    <w:p>
      <w:pPr>
        <w:pStyle w:val="NormalWeb"/>
        <w:spacing w:before="0" w:beforeAutospacing="0" w:after="0" w:afterAutospacing="0"/>
        <w:jc w:val="both"/>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9360"/>
      </w:tblGrid>
      <w:tr>
        <w:trPr>
          <w:tblCellSpacing w:w="0" w:type="dxa"/>
        </w:trPr>
        <w:tc>
          <w:tcPr>
            <w:tcW w:w="360" w:type="dxa"/>
            <w:hideMark/>
          </w:tcPr>
          <w:p>
            <w:pPr>
              <w:rPr>
                <w:sz w:val="20"/>
                <w:szCs w:val="20"/>
              </w:rPr>
            </w:pPr>
          </w:p>
        </w:tc>
        <w:tc>
          <w:tcPr>
            <w:tcW w:w="360" w:type="dxa"/>
            <w:hideMark/>
          </w:tcPr>
          <w:p>
            <w:pPr>
              <w:jc w:val="both"/>
              <w:rPr>
                <w:rFonts w:eastAsia="Times New Roman"/>
                <w:sz w:val="20"/>
                <w:szCs w:val="20"/>
              </w:rPr>
            </w:pPr>
            <w:r>
              <w:rPr>
                <w:rFonts w:ascii="Symbol" w:eastAsia="Times New Roman" w:hAnsi="Symbol"/>
                <w:sz w:val="20"/>
                <w:szCs w:val="20"/>
              </w:rPr>
              <w:t>·</w:t>
            </w:r>
          </w:p>
        </w:tc>
        <w:tc>
          <w:tcPr>
            <w:tcW w:w="0" w:type="auto"/>
            <w:hideMark/>
          </w:tcPr>
          <w:p>
            <w:pPr>
              <w:jc w:val="both"/>
              <w:rPr>
                <w:rFonts w:eastAsia="Times New Roman"/>
                <w:sz w:val="20"/>
                <w:szCs w:val="20"/>
              </w:rPr>
            </w:pPr>
            <w:r>
              <w:rPr>
                <w:rFonts w:eastAsia="Times New Roman"/>
                <w:sz w:val="20"/>
                <w:szCs w:val="20"/>
              </w:rPr>
              <w:t>Adjusted EBITDA</w:t>
            </w:r>
            <w:r>
              <w:rPr>
                <w:rFonts w:eastAsia="Times New Roman"/>
                <w:sz w:val="20"/>
                <w:szCs w:val="20"/>
                <w:vertAlign w:val="superscript"/>
              </w:rPr>
              <w:t>2</w:t>
            </w:r>
            <w:r>
              <w:rPr>
                <w:rFonts w:eastAsia="Times New Roman"/>
                <w:sz w:val="20"/>
                <w:szCs w:val="20"/>
              </w:rPr>
              <w:t xml:space="preserve"> for the Company was USD 0.4m, similar to USD 0.6m in 2HY2022 and down from USD 3.1m in 1HY2022, mainly due to increased investment in Germany and in USA as well as Nasdaq® listing expenses.</w:t>
            </w:r>
          </w:p>
        </w:tc>
      </w:tr>
    </w:tbl>
    <w:p>
      <w:pPr>
        <w:pStyle w:val="NormalWeb"/>
        <w:spacing w:before="0" w:beforeAutospacing="0" w:after="0" w:afterAutospacing="0"/>
        <w:jc w:val="both"/>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9360"/>
      </w:tblGrid>
      <w:tr>
        <w:trPr>
          <w:tblCellSpacing w:w="0" w:type="dxa"/>
        </w:trPr>
        <w:tc>
          <w:tcPr>
            <w:tcW w:w="360" w:type="dxa"/>
            <w:hideMark/>
          </w:tcPr>
          <w:p>
            <w:pPr>
              <w:rPr>
                <w:sz w:val="20"/>
                <w:szCs w:val="20"/>
              </w:rPr>
            </w:pPr>
          </w:p>
        </w:tc>
        <w:tc>
          <w:tcPr>
            <w:tcW w:w="360" w:type="dxa"/>
            <w:hideMark/>
          </w:tcPr>
          <w:p>
            <w:pPr>
              <w:jc w:val="both"/>
              <w:rPr>
                <w:rFonts w:eastAsia="Times New Roman"/>
                <w:sz w:val="20"/>
                <w:szCs w:val="20"/>
              </w:rPr>
            </w:pPr>
            <w:r>
              <w:rPr>
                <w:rFonts w:ascii="Symbol" w:eastAsia="Times New Roman" w:hAnsi="Symbol"/>
                <w:sz w:val="20"/>
                <w:szCs w:val="20"/>
              </w:rPr>
              <w:t>·</w:t>
            </w:r>
          </w:p>
        </w:tc>
        <w:tc>
          <w:tcPr>
            <w:tcW w:w="0" w:type="auto"/>
            <w:hideMark/>
          </w:tcPr>
          <w:p>
            <w:pPr>
              <w:jc w:val="both"/>
              <w:rPr>
                <w:rFonts w:eastAsia="Times New Roman"/>
                <w:sz w:val="20"/>
                <w:szCs w:val="20"/>
              </w:rPr>
            </w:pPr>
            <w:r>
              <w:rPr>
                <w:rFonts w:eastAsia="Times New Roman"/>
                <w:sz w:val="20"/>
                <w:szCs w:val="20"/>
              </w:rPr>
              <w:t>Cash on hand and short-term cash investments as of June 30, 2023, remain robust at USD 29.4m.</w:t>
            </w:r>
          </w:p>
        </w:tc>
      </w:tr>
    </w:tbl>
    <w:p>
      <w:pPr>
        <w:pStyle w:val="NormalWeb"/>
        <w:spacing w:before="0" w:beforeAutospacing="0" w:after="0" w:afterAutospacing="0"/>
        <w:jc w:val="both"/>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9360"/>
      </w:tblGrid>
      <w:tr>
        <w:trPr>
          <w:tblCellSpacing w:w="0" w:type="dxa"/>
        </w:trPr>
        <w:tc>
          <w:tcPr>
            <w:tcW w:w="360" w:type="dxa"/>
            <w:hideMark/>
          </w:tcPr>
          <w:p>
            <w:pPr>
              <w:rPr>
                <w:sz w:val="20"/>
                <w:szCs w:val="20"/>
              </w:rPr>
            </w:pPr>
          </w:p>
        </w:tc>
        <w:tc>
          <w:tcPr>
            <w:tcW w:w="360" w:type="dxa"/>
            <w:hideMark/>
          </w:tcPr>
          <w:p>
            <w:pPr>
              <w:jc w:val="both"/>
              <w:rPr>
                <w:rFonts w:eastAsia="Times New Roman"/>
                <w:sz w:val="20"/>
                <w:szCs w:val="20"/>
              </w:rPr>
            </w:pPr>
            <w:r>
              <w:rPr>
                <w:rFonts w:ascii="Symbol" w:eastAsia="Times New Roman" w:hAnsi="Symbol"/>
                <w:sz w:val="20"/>
                <w:szCs w:val="20"/>
              </w:rPr>
              <w:t>·</w:t>
            </w:r>
          </w:p>
        </w:tc>
        <w:tc>
          <w:tcPr>
            <w:tcW w:w="0" w:type="auto"/>
            <w:hideMark/>
          </w:tcPr>
          <w:p>
            <w:pPr>
              <w:jc w:val="both"/>
              <w:rPr>
                <w:rFonts w:eastAsia="Times New Roman"/>
                <w:sz w:val="20"/>
                <w:szCs w:val="20"/>
              </w:rPr>
            </w:pPr>
            <w:r>
              <w:rPr>
                <w:rFonts w:eastAsia="Times New Roman"/>
                <w:sz w:val="20"/>
                <w:szCs w:val="20"/>
              </w:rPr>
              <w:t>Net loss was USD 2.1m, compared to a net loss of USD 0.1m in 1HY2022.</w:t>
            </w:r>
          </w:p>
        </w:tc>
      </w:tr>
    </w:tbl>
    <w:p>
      <w:pPr>
        <w:pStyle w:val="NormalWeb"/>
        <w:spacing w:before="0" w:beforeAutospacing="0" w:after="0" w:afterAutospacing="0"/>
        <w:rPr>
          <w:sz w:val="20"/>
          <w:szCs w:val="20"/>
        </w:rPr>
      </w:pPr>
      <w:r>
        <w:rPr>
          <w:sz w:val="20"/>
          <w:szCs w:val="20"/>
        </w:rPr>
        <w:t> </w:t>
      </w:r>
    </w:p>
    <w:p>
      <w:pPr>
        <w:divId w:val="534118422"/>
        <w:rPr>
          <w:rFonts w:eastAsia="Times New Roman"/>
          <w:sz w:val="2"/>
          <w:szCs w:val="2"/>
        </w:rPr>
      </w:pPr>
      <w:r>
        <w:rPr>
          <w:rFonts w:eastAsia="Times New Roman"/>
          <w:sz w:val="2"/>
          <w:szCs w:val="2"/>
        </w:rPr>
        <w:t> </w:t>
      </w:r>
    </w:p>
    <w:p>
      <w:pPr>
        <w:pStyle w:val="NormalWeb"/>
        <w:spacing w:before="0" w:beforeAutospacing="0" w:after="0" w:afterAutospacing="0"/>
        <w:jc w:val="both"/>
        <w:rPr>
          <w:sz w:val="20"/>
          <w:szCs w:val="20"/>
        </w:rPr>
      </w:pPr>
      <w:r>
        <w:rPr>
          <w:sz w:val="20"/>
          <w:szCs w:val="20"/>
          <w:vertAlign w:val="superscript"/>
        </w:rPr>
        <w:t>1</w:t>
      </w:r>
      <w:r>
        <w:rPr>
          <w:sz w:val="20"/>
          <w:szCs w:val="20"/>
        </w:rPr>
        <w:t> Constant currency – to enable meaningful comparison between 1HY2023 and 2022 results, 2022 results are also presented at 1HY2023 exchange rates which are calculated as annual average based on the average monthly exchange rates of each of the USD and the EUR versus the NIS, as published by the Bank of Israel. The management believes that this presentation enables a more meaningful comparison between the periods due to the significant fluctuations in NIS/USD/EUR exchange rates during the period.</w:t>
      </w:r>
    </w:p>
    <w:p>
      <w:pPr>
        <w:pStyle w:val="NormalWeb"/>
        <w:spacing w:before="0" w:beforeAutospacing="0" w:after="0" w:afterAutospacing="0"/>
        <w:rPr>
          <w:sz w:val="20"/>
          <w:szCs w:val="20"/>
        </w:rPr>
      </w:pPr>
      <w:r>
        <w:rPr>
          <w:sz w:val="20"/>
          <w:szCs w:val="20"/>
          <w:vertAlign w:val="superscript"/>
        </w:rPr>
        <w:t>2</w:t>
      </w:r>
      <w:r>
        <w:rPr>
          <w:sz w:val="20"/>
          <w:szCs w:val="20"/>
        </w:rPr>
        <w:t> Please see the EBITDA, Adjusted EBITDA and Adjusted EBIT Table below, and Reconciliation Table of Adjusted EBITDA and Adjusted EBIT to net profit each presented below as required by the rules of the U.S. Securities and Exchange Commission with respect to non-GAAP financial measures.</w:t>
      </w:r>
    </w:p>
    <w:p>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3327"/>
        <w:gridCol w:w="3427"/>
        <w:gridCol w:w="3326"/>
      </w:tblGrid>
      <w:tr>
        <w:trPr>
          <w:divId w:val="1535462957"/>
        </w:trPr>
        <w:tc>
          <w:tcPr>
            <w:tcW w:w="1650" w:type="pct"/>
            <w:hideMark/>
          </w:tcPr>
          <w:p>
            <w:pPr>
              <w:rPr>
                <w:rFonts w:eastAsia="Times New Roman"/>
                <w:sz w:val="20"/>
                <w:szCs w:val="20"/>
              </w:rPr>
            </w:pPr>
            <w:r>
              <w:rPr>
                <w:rFonts w:eastAsia="Times New Roman"/>
                <w:sz w:val="20"/>
                <w:szCs w:val="20"/>
              </w:rPr>
              <w:t> </w:t>
            </w:r>
          </w:p>
        </w:tc>
        <w:tc>
          <w:tcPr>
            <w:tcW w:w="1700" w:type="pct"/>
            <w:hideMark/>
          </w:tcPr>
          <w:p>
            <w:pPr>
              <w:rPr>
                <w:rFonts w:eastAsia="Times New Roman"/>
                <w:sz w:val="20"/>
                <w:szCs w:val="20"/>
              </w:rPr>
            </w:pPr>
            <w:r>
              <w:rPr>
                <w:rFonts w:eastAsia="Times New Roman"/>
                <w:sz w:val="20"/>
                <w:szCs w:val="20"/>
              </w:rPr>
              <w:t> </w:t>
            </w:r>
          </w:p>
        </w:tc>
        <w:tc>
          <w:tcPr>
            <w:tcW w:w="1650" w:type="pct"/>
            <w:hideMark/>
          </w:tcPr>
          <w:p>
            <w:pPr>
              <w:rPr>
                <w:rFonts w:eastAsia="Times New Roman"/>
                <w:sz w:val="20"/>
                <w:szCs w:val="20"/>
              </w:rPr>
            </w:pPr>
            <w:r>
              <w:rPr>
                <w:rFonts w:eastAsia="Times New Roman"/>
                <w:sz w:val="20"/>
                <w:szCs w:val="20"/>
              </w:rPr>
              <w:t> </w:t>
            </w:r>
          </w:p>
        </w:tc>
      </w:tr>
    </w:tbl>
    <w:p>
      <w:pPr>
        <w:pStyle w:val="NormalWeb"/>
        <w:pageBreakBefore/>
        <w:spacing w:before="0" w:beforeAutospacing="0" w:after="0" w:afterAutospacing="0"/>
        <w:divId w:val="712077945"/>
        <w:rPr>
          <w:sz w:val="20"/>
          <w:szCs w:val="20"/>
        </w:rPr>
      </w:pPr>
      <w:r>
        <w:rPr>
          <w:sz w:val="20"/>
          <w:szCs w:val="20"/>
        </w:rPr>
        <w:lastRenderedPageBreak/>
        <w:t> </w:t>
      </w:r>
    </w:p>
    <w:p>
      <w:pPr>
        <w:pStyle w:val="NormalWeb"/>
        <w:spacing w:before="0" w:beforeAutospacing="0" w:after="0" w:afterAutospacing="0"/>
        <w:divId w:val="1008094816"/>
        <w:rPr>
          <w:sz w:val="20"/>
          <w:szCs w:val="20"/>
        </w:rPr>
      </w:pP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noProof/>
          <w:sz w:val="20"/>
          <w:szCs w:val="20"/>
        </w:rPr>
        <w:drawing>
          <wp:inline distT="0" distB="0" distL="0" distR="0">
            <wp:extent cx="1885950" cy="885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85950" cy="885825"/>
                    </a:xfrm>
                    <a:prstGeom prst="rect">
                      <a:avLst/>
                    </a:prstGeom>
                    <a:noFill/>
                    <a:ln>
                      <a:noFill/>
                    </a:ln>
                  </pic:spPr>
                </pic:pic>
              </a:graphicData>
            </a:graphic>
          </wp:inline>
        </w:drawing>
      </w: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b/>
          <w:bCs/>
          <w:sz w:val="20"/>
          <w:szCs w:val="20"/>
        </w:rPr>
        <w:t>Strategic Developments and Upcoming Highlights:</w:t>
      </w:r>
    </w:p>
    <w:p>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9360"/>
      </w:tblGrid>
      <w:tr>
        <w:trPr>
          <w:tblCellSpacing w:w="0" w:type="dxa"/>
        </w:trPr>
        <w:tc>
          <w:tcPr>
            <w:tcW w:w="360" w:type="dxa"/>
            <w:hideMark/>
          </w:tcPr>
          <w:p>
            <w:pPr>
              <w:rPr>
                <w:sz w:val="20"/>
                <w:szCs w:val="20"/>
              </w:rPr>
            </w:pPr>
          </w:p>
        </w:tc>
        <w:tc>
          <w:tcPr>
            <w:tcW w:w="360" w:type="dxa"/>
            <w:hideMark/>
          </w:tcPr>
          <w:p>
            <w:pPr>
              <w:rPr>
                <w:rFonts w:eastAsia="Times New Roman"/>
                <w:sz w:val="20"/>
                <w:szCs w:val="20"/>
              </w:rPr>
            </w:pPr>
            <w:r>
              <w:rPr>
                <w:rFonts w:ascii="Symbol" w:eastAsia="Times New Roman" w:hAnsi="Symbol"/>
                <w:sz w:val="20"/>
                <w:szCs w:val="20"/>
              </w:rPr>
              <w:t>·</w:t>
            </w:r>
          </w:p>
        </w:tc>
        <w:tc>
          <w:tcPr>
            <w:tcW w:w="0" w:type="auto"/>
            <w:hideMark/>
          </w:tcPr>
          <w:p>
            <w:pPr>
              <w:jc w:val="both"/>
              <w:rPr>
                <w:rFonts w:eastAsia="Times New Roman"/>
                <w:sz w:val="20"/>
                <w:szCs w:val="20"/>
              </w:rPr>
            </w:pPr>
            <w:r>
              <w:rPr>
                <w:rFonts w:eastAsia="Times New Roman"/>
                <w:sz w:val="20"/>
                <w:szCs w:val="20"/>
              </w:rPr>
              <w:t>In the US, SHL has adjusted its strategy to prioritize direct-to-consumer sales of the SmartHeart® ECG, viewing it as a move of considerable strategic importance. The direct-to-consumer sales are anticipated to begin in the second half of 2023, and SHL will utilize its extensive network of US cardiologists for remote ECG evaluations. In parallel, the Company is optimistically awaiting the results from the HELP-MI clinical trial conducted by Mayo Clinic which they believe will hold significant value for its B2B plan of introducing the SmartHeart® platform to hospital systems.</w:t>
            </w:r>
          </w:p>
        </w:tc>
      </w:tr>
    </w:tbl>
    <w:p>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9360"/>
      </w:tblGrid>
      <w:tr>
        <w:trPr>
          <w:tblCellSpacing w:w="0" w:type="dxa"/>
        </w:trPr>
        <w:tc>
          <w:tcPr>
            <w:tcW w:w="360" w:type="dxa"/>
            <w:hideMark/>
          </w:tcPr>
          <w:p>
            <w:pPr>
              <w:rPr>
                <w:sz w:val="20"/>
                <w:szCs w:val="20"/>
              </w:rPr>
            </w:pPr>
          </w:p>
        </w:tc>
        <w:tc>
          <w:tcPr>
            <w:tcW w:w="360" w:type="dxa"/>
            <w:hideMark/>
          </w:tcPr>
          <w:p>
            <w:pPr>
              <w:rPr>
                <w:rFonts w:eastAsia="Times New Roman"/>
                <w:sz w:val="20"/>
                <w:szCs w:val="20"/>
              </w:rPr>
            </w:pPr>
            <w:r>
              <w:rPr>
                <w:rFonts w:ascii="Symbol" w:eastAsia="Times New Roman" w:hAnsi="Symbol"/>
                <w:sz w:val="20"/>
                <w:szCs w:val="20"/>
              </w:rPr>
              <w:t>·</w:t>
            </w:r>
          </w:p>
        </w:tc>
        <w:tc>
          <w:tcPr>
            <w:tcW w:w="0" w:type="auto"/>
            <w:hideMark/>
          </w:tcPr>
          <w:p>
            <w:pPr>
              <w:jc w:val="both"/>
              <w:rPr>
                <w:rFonts w:eastAsia="Times New Roman"/>
                <w:sz w:val="20"/>
                <w:szCs w:val="20"/>
              </w:rPr>
            </w:pPr>
            <w:r>
              <w:rPr>
                <w:rFonts w:eastAsia="Times New Roman"/>
                <w:sz w:val="20"/>
                <w:szCs w:val="20"/>
              </w:rPr>
              <w:t>The Company continues to see growing utilization of its SmartHeart® platform by its Tier1 strategic customers including through the deployment of SmartHeart® in the CVS Minute Clinics.</w:t>
            </w:r>
          </w:p>
        </w:tc>
      </w:tr>
    </w:tbl>
    <w:p>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9360"/>
      </w:tblGrid>
      <w:tr>
        <w:trPr>
          <w:tblCellSpacing w:w="0" w:type="dxa"/>
        </w:trPr>
        <w:tc>
          <w:tcPr>
            <w:tcW w:w="360" w:type="dxa"/>
            <w:hideMark/>
          </w:tcPr>
          <w:p>
            <w:pPr>
              <w:rPr>
                <w:sz w:val="20"/>
                <w:szCs w:val="20"/>
              </w:rPr>
            </w:pPr>
          </w:p>
        </w:tc>
        <w:tc>
          <w:tcPr>
            <w:tcW w:w="360" w:type="dxa"/>
            <w:hideMark/>
          </w:tcPr>
          <w:p>
            <w:pPr>
              <w:rPr>
                <w:rFonts w:eastAsia="Times New Roman"/>
                <w:sz w:val="20"/>
                <w:szCs w:val="20"/>
              </w:rPr>
            </w:pPr>
            <w:r>
              <w:rPr>
                <w:rFonts w:ascii="Symbol" w:eastAsia="Times New Roman" w:hAnsi="Symbol"/>
                <w:sz w:val="20"/>
                <w:szCs w:val="20"/>
              </w:rPr>
              <w:t>·</w:t>
            </w:r>
          </w:p>
        </w:tc>
        <w:tc>
          <w:tcPr>
            <w:tcW w:w="0" w:type="auto"/>
            <w:hideMark/>
          </w:tcPr>
          <w:p>
            <w:pPr>
              <w:jc w:val="both"/>
              <w:rPr>
                <w:rFonts w:eastAsia="Times New Roman"/>
                <w:sz w:val="20"/>
                <w:szCs w:val="20"/>
              </w:rPr>
            </w:pPr>
            <w:r>
              <w:rPr>
                <w:rFonts w:eastAsia="Times New Roman"/>
                <w:sz w:val="20"/>
                <w:szCs w:val="20"/>
              </w:rPr>
              <w:t>The Company is eagerly anticipating the outcomes of clinical trials led by Mayo Clinic and Imperial College London, both relating to the utilization of SmartHeart® 12-lead ECG technology for remote monitoring of post-MI (heart attack) patients at home, examining the reduction in the rate of visits to Emergency Department and hospital readmissions. Preliminary results showcased at the Imperial Vulnerable Plaque and Patient Meeting 2023 (VPM) indicate significant benefits, reinforcing SHL's position in the field.</w:t>
            </w:r>
          </w:p>
        </w:tc>
      </w:tr>
    </w:tbl>
    <w:p>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9360"/>
      </w:tblGrid>
      <w:tr>
        <w:trPr>
          <w:tblCellSpacing w:w="0" w:type="dxa"/>
        </w:trPr>
        <w:tc>
          <w:tcPr>
            <w:tcW w:w="360" w:type="dxa"/>
            <w:hideMark/>
          </w:tcPr>
          <w:p>
            <w:pPr>
              <w:rPr>
                <w:sz w:val="20"/>
                <w:szCs w:val="20"/>
              </w:rPr>
            </w:pPr>
          </w:p>
        </w:tc>
        <w:tc>
          <w:tcPr>
            <w:tcW w:w="360" w:type="dxa"/>
            <w:hideMark/>
          </w:tcPr>
          <w:p>
            <w:pPr>
              <w:rPr>
                <w:rFonts w:eastAsia="Times New Roman"/>
                <w:sz w:val="20"/>
                <w:szCs w:val="20"/>
              </w:rPr>
            </w:pPr>
            <w:r>
              <w:rPr>
                <w:rFonts w:ascii="Symbol" w:eastAsia="Times New Roman" w:hAnsi="Symbol"/>
                <w:sz w:val="20"/>
                <w:szCs w:val="20"/>
              </w:rPr>
              <w:t>·</w:t>
            </w:r>
          </w:p>
        </w:tc>
        <w:tc>
          <w:tcPr>
            <w:tcW w:w="0" w:type="auto"/>
            <w:hideMark/>
          </w:tcPr>
          <w:p>
            <w:pPr>
              <w:jc w:val="both"/>
              <w:rPr>
                <w:rFonts w:eastAsia="Times New Roman"/>
                <w:sz w:val="20"/>
                <w:szCs w:val="20"/>
              </w:rPr>
            </w:pPr>
            <w:r>
              <w:rPr>
                <w:rFonts w:eastAsia="Times New Roman"/>
                <w:sz w:val="20"/>
                <w:szCs w:val="20"/>
              </w:rPr>
              <w:t>In Israel, SHL's B2C subscription activity is showing growth, and the Company has begun introducing new products and services this year, despite local political challenges, thus expanding the use of both its B2C and B2B infrastructures.</w:t>
            </w:r>
          </w:p>
        </w:tc>
      </w:tr>
    </w:tbl>
    <w:p>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9360"/>
      </w:tblGrid>
      <w:tr>
        <w:trPr>
          <w:tblCellSpacing w:w="0" w:type="dxa"/>
        </w:trPr>
        <w:tc>
          <w:tcPr>
            <w:tcW w:w="360" w:type="dxa"/>
            <w:hideMark/>
          </w:tcPr>
          <w:p>
            <w:pPr>
              <w:rPr>
                <w:sz w:val="20"/>
                <w:szCs w:val="20"/>
              </w:rPr>
            </w:pPr>
          </w:p>
        </w:tc>
        <w:tc>
          <w:tcPr>
            <w:tcW w:w="360" w:type="dxa"/>
            <w:hideMark/>
          </w:tcPr>
          <w:p>
            <w:pPr>
              <w:rPr>
                <w:rFonts w:eastAsia="Times New Roman"/>
                <w:sz w:val="20"/>
                <w:szCs w:val="20"/>
              </w:rPr>
            </w:pPr>
            <w:r>
              <w:rPr>
                <w:rFonts w:ascii="Symbol" w:eastAsia="Times New Roman" w:hAnsi="Symbol"/>
                <w:sz w:val="20"/>
                <w:szCs w:val="20"/>
              </w:rPr>
              <w:t>·</w:t>
            </w:r>
          </w:p>
        </w:tc>
        <w:tc>
          <w:tcPr>
            <w:tcW w:w="0" w:type="auto"/>
            <w:hideMark/>
          </w:tcPr>
          <w:p>
            <w:pPr>
              <w:jc w:val="both"/>
              <w:rPr>
                <w:rFonts w:eastAsia="Times New Roman"/>
                <w:sz w:val="20"/>
                <w:szCs w:val="20"/>
              </w:rPr>
            </w:pPr>
            <w:r>
              <w:rPr>
                <w:rFonts w:eastAsia="Times New Roman"/>
                <w:sz w:val="20"/>
                <w:szCs w:val="20"/>
              </w:rPr>
              <w:t>The Company recently launched the Doctors’ Virtual Visit service in Germany providing this offering to approximately 12.4 million individuals insured by BARMER and AOK Plus. The Company continues to witness a consistent increase in the adoption of the service and believes it will serve as promising new growth engine for its operation in the German market.</w:t>
            </w:r>
          </w:p>
        </w:tc>
      </w:tr>
    </w:tbl>
    <w:p>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9360"/>
      </w:tblGrid>
      <w:tr>
        <w:trPr>
          <w:tblCellSpacing w:w="0" w:type="dxa"/>
        </w:trPr>
        <w:tc>
          <w:tcPr>
            <w:tcW w:w="360" w:type="dxa"/>
            <w:hideMark/>
          </w:tcPr>
          <w:p>
            <w:pPr>
              <w:rPr>
                <w:sz w:val="20"/>
                <w:szCs w:val="20"/>
              </w:rPr>
            </w:pPr>
          </w:p>
        </w:tc>
        <w:tc>
          <w:tcPr>
            <w:tcW w:w="360" w:type="dxa"/>
            <w:hideMark/>
          </w:tcPr>
          <w:p>
            <w:pPr>
              <w:rPr>
                <w:rFonts w:eastAsia="Times New Roman"/>
                <w:sz w:val="20"/>
                <w:szCs w:val="20"/>
              </w:rPr>
            </w:pPr>
            <w:r>
              <w:rPr>
                <w:rFonts w:ascii="Symbol" w:eastAsia="Times New Roman" w:hAnsi="Symbol"/>
                <w:sz w:val="20"/>
                <w:szCs w:val="20"/>
              </w:rPr>
              <w:t>·</w:t>
            </w:r>
          </w:p>
        </w:tc>
        <w:tc>
          <w:tcPr>
            <w:tcW w:w="0" w:type="auto"/>
            <w:hideMark/>
          </w:tcPr>
          <w:p>
            <w:pPr>
              <w:rPr>
                <w:rFonts w:eastAsia="Times New Roman"/>
                <w:sz w:val="20"/>
                <w:szCs w:val="20"/>
              </w:rPr>
            </w:pPr>
            <w:r>
              <w:rPr>
                <w:rFonts w:eastAsia="Times New Roman"/>
                <w:sz w:val="20"/>
                <w:szCs w:val="20"/>
              </w:rPr>
              <w:t>During April 2023, the Company’s ADR’s commenced trading on the Nasdaq®.</w:t>
            </w:r>
          </w:p>
        </w:tc>
      </w:tr>
    </w:tbl>
    <w:p>
      <w:pPr>
        <w:pStyle w:val="NormalWeb"/>
        <w:spacing w:before="0" w:beforeAutospacing="0" w:after="0" w:afterAutospacing="0"/>
        <w:ind w:left="720" w:hanging="360"/>
        <w:rPr>
          <w:sz w:val="20"/>
          <w:szCs w:val="20"/>
        </w:rPr>
      </w:pPr>
      <w:r>
        <w:rPr>
          <w:sz w:val="20"/>
          <w:szCs w:val="20"/>
        </w:rPr>
        <w:t> </w:t>
      </w:r>
    </w:p>
    <w:p>
      <w:pPr>
        <w:pStyle w:val="NormalWeb"/>
        <w:spacing w:before="0" w:beforeAutospacing="0" w:after="0" w:afterAutospacing="0"/>
        <w:jc w:val="both"/>
        <w:rPr>
          <w:sz w:val="20"/>
          <w:szCs w:val="20"/>
        </w:rPr>
      </w:pPr>
      <w:r>
        <w:rPr>
          <w:b/>
          <w:bCs/>
          <w:sz w:val="20"/>
          <w:szCs w:val="20"/>
        </w:rPr>
        <w:t>Erez Nachtomy, CEO of SHL, commented:</w:t>
      </w:r>
      <w:r>
        <w:rPr>
          <w:sz w:val="20"/>
          <w:szCs w:val="20"/>
        </w:rPr>
        <w:t xml:space="preserve"> “This half-year showcases our resilience and adaptability in the face of market challenges. Our consistent performance in Israel, the promising Virtual Visit growth engine in Germany, alongside our strategy prioritization in the US underline our commitment to innovation and excellence. Our investments in technology and strategic relationships, especially with esteemed entities like CVS, Henry Schein, and the Mayo Clinic, position us at the forefront of telemedicine. As we navigate the evolving healthcare landscape, our primary focus remains delivering unparalleled value to our customers and stakeholders while championing the transformative power of telemedicine."</w:t>
      </w:r>
    </w:p>
    <w:p>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3327"/>
        <w:gridCol w:w="3427"/>
        <w:gridCol w:w="3326"/>
      </w:tblGrid>
      <w:tr>
        <w:trPr>
          <w:divId w:val="1432504507"/>
        </w:trPr>
        <w:tc>
          <w:tcPr>
            <w:tcW w:w="1650" w:type="pct"/>
            <w:hideMark/>
          </w:tcPr>
          <w:p>
            <w:pPr>
              <w:rPr>
                <w:rFonts w:eastAsia="Times New Roman"/>
                <w:sz w:val="20"/>
                <w:szCs w:val="20"/>
              </w:rPr>
            </w:pPr>
            <w:r>
              <w:rPr>
                <w:rFonts w:eastAsia="Times New Roman"/>
                <w:sz w:val="20"/>
                <w:szCs w:val="20"/>
              </w:rPr>
              <w:t> </w:t>
            </w:r>
          </w:p>
        </w:tc>
        <w:tc>
          <w:tcPr>
            <w:tcW w:w="1700" w:type="pct"/>
            <w:hideMark/>
          </w:tcPr>
          <w:p>
            <w:pPr>
              <w:rPr>
                <w:rFonts w:eastAsia="Times New Roman"/>
                <w:sz w:val="20"/>
                <w:szCs w:val="20"/>
              </w:rPr>
            </w:pPr>
            <w:r>
              <w:rPr>
                <w:rFonts w:eastAsia="Times New Roman"/>
                <w:sz w:val="20"/>
                <w:szCs w:val="20"/>
              </w:rPr>
              <w:t> </w:t>
            </w:r>
          </w:p>
        </w:tc>
        <w:tc>
          <w:tcPr>
            <w:tcW w:w="1650" w:type="pct"/>
            <w:hideMark/>
          </w:tcPr>
          <w:p>
            <w:pPr>
              <w:rPr>
                <w:rFonts w:eastAsia="Times New Roman"/>
                <w:sz w:val="20"/>
                <w:szCs w:val="20"/>
              </w:rPr>
            </w:pPr>
            <w:r>
              <w:rPr>
                <w:rFonts w:eastAsia="Times New Roman"/>
                <w:sz w:val="20"/>
                <w:szCs w:val="20"/>
              </w:rPr>
              <w:t> </w:t>
            </w:r>
          </w:p>
        </w:tc>
      </w:tr>
    </w:tbl>
    <w:p>
      <w:pPr>
        <w:pStyle w:val="NormalWeb"/>
        <w:pageBreakBefore/>
        <w:spacing w:before="0" w:beforeAutospacing="0" w:after="0" w:afterAutospacing="0"/>
        <w:divId w:val="1310281658"/>
        <w:rPr>
          <w:sz w:val="20"/>
          <w:szCs w:val="20"/>
        </w:rPr>
      </w:pPr>
      <w:r>
        <w:rPr>
          <w:sz w:val="20"/>
          <w:szCs w:val="20"/>
        </w:rPr>
        <w:lastRenderedPageBreak/>
        <w:t> </w:t>
      </w:r>
    </w:p>
    <w:p>
      <w:pPr>
        <w:pStyle w:val="NormalWeb"/>
        <w:spacing w:before="0" w:beforeAutospacing="0" w:after="0" w:afterAutospacing="0"/>
        <w:divId w:val="918904644"/>
        <w:rPr>
          <w:sz w:val="20"/>
          <w:szCs w:val="20"/>
        </w:rPr>
      </w:pP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noProof/>
          <w:sz w:val="20"/>
          <w:szCs w:val="20"/>
        </w:rPr>
        <w:drawing>
          <wp:inline distT="0" distB="0" distL="0" distR="0">
            <wp:extent cx="1885950" cy="885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85950" cy="885825"/>
                    </a:xfrm>
                    <a:prstGeom prst="rect">
                      <a:avLst/>
                    </a:prstGeom>
                    <a:noFill/>
                    <a:ln>
                      <a:noFill/>
                    </a:ln>
                  </pic:spPr>
                </pic:pic>
              </a:graphicData>
            </a:graphic>
          </wp:inline>
        </w:drawing>
      </w: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b/>
          <w:bCs/>
          <w:sz w:val="20"/>
          <w:szCs w:val="20"/>
        </w:rPr>
        <w:t>Conference Call at 4 pm CET</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The Company will host a conference call for investors, journalists and analysts to discuss the Half-Year 2023 results today at 4 pm CET. The conference call will be hosted by Erez Nachtomy, CEO, and Amir Hai, CFO and will be held in English.</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b/>
          <w:bCs/>
          <w:sz w:val="20"/>
          <w:szCs w:val="20"/>
        </w:rPr>
        <w:t>Dial-in numbers:</w:t>
      </w:r>
    </w:p>
    <w:p>
      <w:pPr>
        <w:pStyle w:val="NormalWeb"/>
        <w:spacing w:before="0" w:beforeAutospacing="0" w:after="0" w:afterAutospacing="0"/>
        <w:rPr>
          <w:sz w:val="20"/>
          <w:szCs w:val="20"/>
        </w:rPr>
      </w:pPr>
      <w:r>
        <w:rPr>
          <w:b/>
          <w:bCs/>
          <w:sz w:val="20"/>
          <w:szCs w:val="20"/>
        </w:rPr>
        <w:t> </w:t>
      </w:r>
    </w:p>
    <w:p>
      <w:pPr>
        <w:pStyle w:val="NormalWeb"/>
        <w:spacing w:before="0" w:beforeAutospacing="0" w:after="0" w:afterAutospacing="0"/>
        <w:jc w:val="both"/>
        <w:rPr>
          <w:sz w:val="20"/>
          <w:szCs w:val="20"/>
        </w:rPr>
      </w:pPr>
      <w:r>
        <w:rPr>
          <w:sz w:val="20"/>
          <w:szCs w:val="20"/>
        </w:rPr>
        <w:t>From Europe: +41 (0)58 310 50 00</w:t>
      </w:r>
    </w:p>
    <w:p>
      <w:pPr>
        <w:pStyle w:val="NormalWeb"/>
        <w:spacing w:before="0" w:beforeAutospacing="0" w:after="0" w:afterAutospacing="0"/>
        <w:jc w:val="both"/>
        <w:rPr>
          <w:sz w:val="20"/>
          <w:szCs w:val="20"/>
        </w:rPr>
      </w:pPr>
      <w:r>
        <w:rPr>
          <w:sz w:val="20"/>
          <w:szCs w:val="20"/>
        </w:rPr>
        <w:t>From UK: +44 (0) 207 107 06 13</w:t>
      </w:r>
    </w:p>
    <w:p>
      <w:pPr>
        <w:pStyle w:val="NormalWeb"/>
        <w:spacing w:before="0" w:beforeAutospacing="0" w:after="0" w:afterAutospacing="0"/>
        <w:jc w:val="both"/>
        <w:rPr>
          <w:sz w:val="20"/>
          <w:szCs w:val="20"/>
        </w:rPr>
      </w:pPr>
      <w:r>
        <w:rPr>
          <w:sz w:val="20"/>
          <w:szCs w:val="20"/>
        </w:rPr>
        <w:t>From USA: +1 (1) 631 570 56 13</w:t>
      </w:r>
    </w:p>
    <w:p>
      <w:pPr>
        <w:pStyle w:val="NormalWeb"/>
        <w:spacing w:before="0" w:beforeAutospacing="0" w:after="0" w:afterAutospacing="0"/>
        <w:jc w:val="both"/>
        <w:rPr>
          <w:sz w:val="20"/>
          <w:szCs w:val="20"/>
        </w:rPr>
      </w:pPr>
      <w:r>
        <w:rPr>
          <w:sz w:val="20"/>
          <w:szCs w:val="20"/>
        </w:rPr>
        <w:t>From Israel: Toll free: 1 80 921 44 27 / Local: +972 3763 1173</w:t>
      </w:r>
    </w:p>
    <w:p>
      <w:pPr>
        <w:pStyle w:val="NormalWeb"/>
        <w:spacing w:before="0" w:beforeAutospacing="0" w:after="0" w:afterAutospacing="0"/>
        <w:rPr>
          <w:sz w:val="20"/>
          <w:szCs w:val="20"/>
        </w:rPr>
      </w:pPr>
      <w:r>
        <w:rPr>
          <w:sz w:val="20"/>
          <w:szCs w:val="20"/>
        </w:rPr>
        <w:t>The conference call is scheduled to last approximately 45 minutes.</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sz w:val="20"/>
          <w:szCs w:val="20"/>
        </w:rPr>
        <w:t xml:space="preserve">The presentation is available on: </w:t>
      </w:r>
      <w:r>
        <w:rPr>
          <w:sz w:val="20"/>
          <w:szCs w:val="20"/>
          <w:u w:val="single"/>
        </w:rPr>
        <w:t>www.shl-telemedicine.com/reports</w:t>
      </w:r>
    </w:p>
    <w:p>
      <w:pPr>
        <w:pStyle w:val="NormalWeb"/>
        <w:spacing w:before="0" w:beforeAutospacing="0" w:after="0" w:afterAutospacing="0"/>
        <w:rPr>
          <w:sz w:val="20"/>
          <w:szCs w:val="20"/>
        </w:rPr>
      </w:pPr>
      <w:r>
        <w:rPr>
          <w:sz w:val="20"/>
          <w:szCs w:val="20"/>
        </w:rPr>
        <w:t xml:space="preserve">The Half-Year Report 2023 is available on: </w:t>
      </w:r>
      <w:r>
        <w:rPr>
          <w:sz w:val="20"/>
          <w:szCs w:val="20"/>
          <w:u w:val="single"/>
        </w:rPr>
        <w:t>www.shl-telemedicine.com/reports</w:t>
      </w:r>
    </w:p>
    <w:p>
      <w:pPr>
        <w:pStyle w:val="NormalWeb"/>
        <w:spacing w:before="0" w:beforeAutospacing="0" w:after="0" w:afterAutospacing="0"/>
        <w:rPr>
          <w:sz w:val="20"/>
          <w:szCs w:val="20"/>
        </w:rPr>
      </w:pPr>
      <w:r>
        <w:rPr>
          <w:sz w:val="20"/>
          <w:szCs w:val="20"/>
          <w:u w:val="single"/>
        </w:rPr>
        <w:t>SEC submission of the Half-Year Report and presentation is available on:</w:t>
      </w:r>
    </w:p>
    <w:p>
      <w:pPr>
        <w:pStyle w:val="NormalWeb"/>
        <w:spacing w:before="0" w:beforeAutospacing="0" w:after="0" w:afterAutospacing="0"/>
        <w:rPr>
          <w:sz w:val="20"/>
          <w:szCs w:val="20"/>
          <w:u w:val="single"/>
        </w:rPr>
      </w:pPr>
      <w:r>
        <w:rPr>
          <w:sz w:val="20"/>
          <w:szCs w:val="20"/>
          <w:u w:val="single"/>
        </w:rPr>
        <w:t>https://www.shl-telemedicine.com/sec-filing/</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b/>
          <w:bCs/>
          <w:sz w:val="20"/>
          <w:szCs w:val="20"/>
        </w:rPr>
        <w:t>About SHL Telemedicine</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 xml:space="preserve">SHL Telemedicine is engaged in developing and marketing personal telemedicine systems and the provision of medical call center services, with a focus on cardiovascular and related diseases, to end users and to the healthcare community. SHL Telemedicine offers its services and personal telemedicine devices to subscribers utilizing telephonic and Internet communication technology. SHL is listed on the SIX Swiss Exchange (SHLTN, ISIN: IL0010855885, Security No.: 1128957) and on the Nasdaq Stock Exchange (SHLT, ISIN: US78423T2006, CUSIP: 78423T200). For more information, please visit our web site at </w:t>
      </w:r>
      <w:r>
        <w:rPr>
          <w:sz w:val="20"/>
          <w:szCs w:val="20"/>
          <w:u w:val="single"/>
        </w:rPr>
        <w:t>www.shl-telemedicine.com</w:t>
      </w:r>
      <w:r>
        <w:rPr>
          <w:sz w:val="20"/>
          <w:szCs w:val="20"/>
        </w:rPr>
        <w:t>.</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b/>
          <w:bCs/>
          <w:sz w:val="20"/>
          <w:szCs w:val="20"/>
        </w:rPr>
        <w:t>Financial calendar</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7 December 2023, Annual General Meeting. Tel Aviv, Israel</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b/>
          <w:bCs/>
          <w:sz w:val="20"/>
          <w:szCs w:val="20"/>
        </w:rPr>
        <w:t>For more financial information:</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 xml:space="preserve">For a comprehensive understanding of the Company’s financial reports and related management’s discussion and analysis for applicable periods, please visit the Company’s profile at https://www.sec.gov/edgar or the Company’s full report on its site: </w:t>
      </w:r>
      <w:r>
        <w:rPr>
          <w:sz w:val="20"/>
          <w:szCs w:val="20"/>
          <w:u w:val="single"/>
        </w:rPr>
        <w:t>www.shl-telemedicine.com/reports</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b/>
          <w:bCs/>
          <w:sz w:val="20"/>
          <w:szCs w:val="20"/>
        </w:rPr>
        <w:t>For further information please contact:</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sz w:val="20"/>
          <w:szCs w:val="20"/>
        </w:rPr>
        <w:t xml:space="preserve">Fabienne Farner, IRF, Phone : +41 43 244 81 42, </w:t>
      </w:r>
      <w:r>
        <w:rPr>
          <w:sz w:val="20"/>
          <w:szCs w:val="20"/>
          <w:u w:val="single"/>
        </w:rPr>
        <w:t>farner@irf-reputation.ch</w:t>
      </w:r>
    </w:p>
    <w:p>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3327"/>
        <w:gridCol w:w="3427"/>
        <w:gridCol w:w="3326"/>
      </w:tblGrid>
      <w:tr>
        <w:trPr>
          <w:divId w:val="1313484509"/>
        </w:trPr>
        <w:tc>
          <w:tcPr>
            <w:tcW w:w="1650" w:type="pct"/>
            <w:hideMark/>
          </w:tcPr>
          <w:p>
            <w:pPr>
              <w:rPr>
                <w:rFonts w:eastAsia="Times New Roman"/>
                <w:sz w:val="20"/>
                <w:szCs w:val="20"/>
              </w:rPr>
            </w:pPr>
            <w:r>
              <w:rPr>
                <w:rFonts w:eastAsia="Times New Roman"/>
                <w:sz w:val="20"/>
                <w:szCs w:val="20"/>
              </w:rPr>
              <w:t> </w:t>
            </w:r>
          </w:p>
        </w:tc>
        <w:tc>
          <w:tcPr>
            <w:tcW w:w="1700" w:type="pct"/>
            <w:hideMark/>
          </w:tcPr>
          <w:p>
            <w:pPr>
              <w:rPr>
                <w:rFonts w:eastAsia="Times New Roman"/>
                <w:sz w:val="20"/>
                <w:szCs w:val="20"/>
              </w:rPr>
            </w:pPr>
            <w:r>
              <w:rPr>
                <w:rFonts w:eastAsia="Times New Roman"/>
                <w:sz w:val="20"/>
                <w:szCs w:val="20"/>
              </w:rPr>
              <w:t> </w:t>
            </w:r>
          </w:p>
        </w:tc>
        <w:tc>
          <w:tcPr>
            <w:tcW w:w="1650" w:type="pct"/>
            <w:hideMark/>
          </w:tcPr>
          <w:p>
            <w:pPr>
              <w:rPr>
                <w:rFonts w:eastAsia="Times New Roman"/>
                <w:sz w:val="20"/>
                <w:szCs w:val="20"/>
              </w:rPr>
            </w:pPr>
            <w:r>
              <w:rPr>
                <w:rFonts w:eastAsia="Times New Roman"/>
                <w:sz w:val="20"/>
                <w:szCs w:val="20"/>
              </w:rPr>
              <w:t> </w:t>
            </w:r>
          </w:p>
        </w:tc>
      </w:tr>
    </w:tbl>
    <w:p>
      <w:pPr>
        <w:pStyle w:val="NormalWeb"/>
        <w:pageBreakBefore/>
        <w:spacing w:before="0" w:beforeAutospacing="0" w:after="0" w:afterAutospacing="0"/>
        <w:divId w:val="1951426319"/>
        <w:rPr>
          <w:sz w:val="20"/>
          <w:szCs w:val="20"/>
        </w:rPr>
      </w:pPr>
      <w:r>
        <w:rPr>
          <w:sz w:val="20"/>
          <w:szCs w:val="20"/>
        </w:rPr>
        <w:lastRenderedPageBreak/>
        <w:t> </w:t>
      </w:r>
    </w:p>
    <w:p>
      <w:pPr>
        <w:pStyle w:val="NormalWeb"/>
        <w:spacing w:before="0" w:beforeAutospacing="0" w:after="0" w:afterAutospacing="0"/>
        <w:divId w:val="1415470966"/>
        <w:rPr>
          <w:sz w:val="20"/>
          <w:szCs w:val="20"/>
        </w:rPr>
      </w:pP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noProof/>
          <w:sz w:val="20"/>
          <w:szCs w:val="20"/>
        </w:rPr>
        <w:drawing>
          <wp:inline distT="0" distB="0" distL="0" distR="0">
            <wp:extent cx="1885950" cy="885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85950" cy="885825"/>
                    </a:xfrm>
                    <a:prstGeom prst="rect">
                      <a:avLst/>
                    </a:prstGeom>
                    <a:noFill/>
                    <a:ln>
                      <a:noFill/>
                    </a:ln>
                  </pic:spPr>
                </pic:pic>
              </a:graphicData>
            </a:graphic>
          </wp:inline>
        </w:drawing>
      </w: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center"/>
        <w:rPr>
          <w:sz w:val="20"/>
          <w:szCs w:val="20"/>
        </w:rPr>
      </w:pPr>
      <w:r>
        <w:rPr>
          <w:b/>
          <w:bCs/>
          <w:sz w:val="20"/>
          <w:szCs w:val="20"/>
          <w:u w:val="single"/>
        </w:rPr>
        <w:t>Key Figures for 1H2023</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b/>
          <w:bCs/>
          <w:sz w:val="20"/>
          <w:szCs w:val="20"/>
        </w:rPr>
        <w:t>Key figures (as reported):</w:t>
      </w:r>
    </w:p>
    <w:p>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6148"/>
        <w:gridCol w:w="100"/>
        <w:gridCol w:w="101"/>
        <w:gridCol w:w="1008"/>
        <w:gridCol w:w="101"/>
        <w:gridCol w:w="101"/>
        <w:gridCol w:w="101"/>
        <w:gridCol w:w="1008"/>
        <w:gridCol w:w="101"/>
        <w:gridCol w:w="101"/>
        <w:gridCol w:w="101"/>
        <w:gridCol w:w="1008"/>
        <w:gridCol w:w="101"/>
      </w:tblGrid>
      <w:tr>
        <w:tc>
          <w:tcPr>
            <w:tcW w:w="0" w:type="auto"/>
            <w:tcBorders>
              <w:bottom w:val="single" w:sz="8" w:space="0" w:color="000000"/>
            </w:tcBorders>
            <w:vAlign w:val="bottom"/>
            <w:hideMark/>
          </w:tcPr>
          <w:p>
            <w:pPr>
              <w:rPr>
                <w:rFonts w:eastAsia="Times New Roman"/>
                <w:sz w:val="20"/>
                <w:szCs w:val="20"/>
              </w:rPr>
            </w:pPr>
            <w:r>
              <w:rPr>
                <w:rFonts w:eastAsia="Times New Roman"/>
                <w:sz w:val="20"/>
                <w:szCs w:val="20"/>
              </w:rPr>
              <w:t>in USD million (except per share amounts)</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gridSpan w:val="2"/>
            <w:tcBorders>
              <w:bottom w:val="single" w:sz="8" w:space="0" w:color="000000"/>
            </w:tcBorders>
            <w:vAlign w:val="bottom"/>
            <w:hideMark/>
          </w:tcPr>
          <w:p>
            <w:pPr>
              <w:jc w:val="center"/>
              <w:rPr>
                <w:rFonts w:eastAsia="Times New Roman"/>
                <w:b/>
                <w:bCs/>
                <w:sz w:val="20"/>
                <w:szCs w:val="20"/>
              </w:rPr>
            </w:pPr>
            <w:r>
              <w:rPr>
                <w:rFonts w:eastAsia="Times New Roman"/>
                <w:b/>
                <w:bCs/>
                <w:sz w:val="20"/>
                <w:szCs w:val="20"/>
              </w:rPr>
              <w:t>HY2023</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gridSpan w:val="2"/>
            <w:tcBorders>
              <w:bottom w:val="single" w:sz="8" w:space="0" w:color="000000"/>
            </w:tcBorders>
            <w:vAlign w:val="bottom"/>
            <w:hideMark/>
          </w:tcPr>
          <w:p>
            <w:pPr>
              <w:jc w:val="center"/>
              <w:rPr>
                <w:rFonts w:eastAsia="Times New Roman"/>
                <w:sz w:val="20"/>
                <w:szCs w:val="20"/>
              </w:rPr>
            </w:pPr>
            <w:r>
              <w:rPr>
                <w:rFonts w:eastAsia="Times New Roman"/>
                <w:sz w:val="20"/>
                <w:szCs w:val="20"/>
              </w:rPr>
              <w:t>HY2022</w:t>
            </w:r>
          </w:p>
        </w:tc>
        <w:tc>
          <w:tcPr>
            <w:tcW w:w="0" w:type="auto"/>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gridSpan w:val="2"/>
            <w:tcBorders>
              <w:bottom w:val="single" w:sz="8" w:space="0" w:color="000000"/>
            </w:tcBorders>
            <w:vAlign w:val="bottom"/>
            <w:hideMark/>
          </w:tcPr>
          <w:p>
            <w:pPr>
              <w:jc w:val="center"/>
              <w:rPr>
                <w:rFonts w:eastAsia="Times New Roman"/>
                <w:sz w:val="20"/>
                <w:szCs w:val="20"/>
              </w:rPr>
            </w:pPr>
            <w:r>
              <w:rPr>
                <w:rFonts w:eastAsia="Times New Roman"/>
                <w:sz w:val="20"/>
                <w:szCs w:val="20"/>
              </w:rPr>
              <w:t>% change</w:t>
            </w:r>
          </w:p>
        </w:tc>
        <w:tc>
          <w:tcPr>
            <w:tcW w:w="0" w:type="auto"/>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r>
      <w:tr>
        <w:tc>
          <w:tcPr>
            <w:tcW w:w="3050" w:type="pct"/>
            <w:shd w:val="clear" w:color="auto" w:fill="CCEEFF"/>
            <w:vAlign w:val="bottom"/>
            <w:hideMark/>
          </w:tcPr>
          <w:p>
            <w:pPr>
              <w:rPr>
                <w:rFonts w:eastAsia="Times New Roman"/>
                <w:sz w:val="20"/>
                <w:szCs w:val="20"/>
              </w:rPr>
            </w:pPr>
            <w:r>
              <w:rPr>
                <w:rFonts w:eastAsia="Times New Roman"/>
                <w:sz w:val="20"/>
                <w:szCs w:val="20"/>
              </w:rPr>
              <w:t>Revenues for the period</w:t>
            </w:r>
          </w:p>
        </w:tc>
        <w:tc>
          <w:tcPr>
            <w:tcW w:w="50" w:type="pct"/>
            <w:shd w:val="clear" w:color="auto" w:fill="CCEEFF"/>
            <w:vAlign w:val="bottom"/>
            <w:hideMark/>
          </w:tcPr>
          <w:p>
            <w:pPr>
              <w:rPr>
                <w:rFonts w:eastAsia="Times New Roman"/>
                <w:b/>
                <w:bCs/>
                <w:sz w:val="20"/>
                <w:szCs w:val="20"/>
              </w:rPr>
            </w:pPr>
            <w:r>
              <w:rPr>
                <w:rFonts w:eastAsia="Times New Roman"/>
                <w:b/>
                <w:bCs/>
                <w:sz w:val="20"/>
                <w:szCs w:val="20"/>
              </w:rPr>
              <w:t> </w:t>
            </w:r>
          </w:p>
        </w:tc>
        <w:tc>
          <w:tcPr>
            <w:tcW w:w="50" w:type="pct"/>
            <w:shd w:val="clear" w:color="auto" w:fill="CCEEFF"/>
            <w:vAlign w:val="bottom"/>
            <w:hideMark/>
          </w:tcPr>
          <w:p>
            <w:pPr>
              <w:rPr>
                <w:rFonts w:eastAsia="Times New Roman"/>
                <w:b/>
                <w:bCs/>
                <w:sz w:val="20"/>
                <w:szCs w:val="20"/>
              </w:rPr>
            </w:pPr>
            <w:r>
              <w:rPr>
                <w:rFonts w:eastAsia="Times New Roman"/>
                <w:b/>
                <w:bCs/>
                <w:sz w:val="20"/>
                <w:szCs w:val="20"/>
              </w:rPr>
              <w:t> </w:t>
            </w:r>
          </w:p>
        </w:tc>
        <w:tc>
          <w:tcPr>
            <w:tcW w:w="500" w:type="pct"/>
            <w:shd w:val="clear" w:color="auto" w:fill="CCEEFF"/>
            <w:vAlign w:val="bottom"/>
            <w:hideMark/>
          </w:tcPr>
          <w:p>
            <w:pPr>
              <w:jc w:val="right"/>
              <w:rPr>
                <w:rFonts w:eastAsia="Times New Roman"/>
                <w:b/>
                <w:bCs/>
                <w:sz w:val="20"/>
                <w:szCs w:val="20"/>
              </w:rPr>
            </w:pPr>
            <w:r>
              <w:rPr>
                <w:rFonts w:eastAsia="Times New Roman"/>
                <w:b/>
                <w:bCs/>
                <w:sz w:val="20"/>
                <w:szCs w:val="20"/>
              </w:rPr>
              <w:t>29.0</w:t>
            </w:r>
          </w:p>
        </w:tc>
        <w:tc>
          <w:tcPr>
            <w:tcW w:w="50" w:type="pct"/>
            <w:shd w:val="clear" w:color="auto" w:fill="CCEEFF"/>
            <w:vAlign w:val="bottom"/>
            <w:hideMark/>
          </w:tcPr>
          <w:p>
            <w:pPr>
              <w:rPr>
                <w:rFonts w:eastAsia="Times New Roman"/>
                <w:b/>
                <w:bCs/>
                <w:sz w:val="20"/>
                <w:szCs w:val="20"/>
              </w:rPr>
            </w:pPr>
            <w:r>
              <w:rPr>
                <w:rFonts w:eastAsia="Times New Roman"/>
                <w:b/>
                <w:bCs/>
                <w:sz w:val="20"/>
                <w:szCs w:val="20"/>
              </w:rPr>
              <w:t> </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0" w:type="pct"/>
            <w:shd w:val="clear" w:color="auto" w:fill="CCEEFF"/>
            <w:vAlign w:val="bottom"/>
            <w:hideMark/>
          </w:tcPr>
          <w:p>
            <w:pPr>
              <w:jc w:val="right"/>
              <w:rPr>
                <w:rFonts w:eastAsia="Times New Roman"/>
                <w:sz w:val="20"/>
                <w:szCs w:val="20"/>
              </w:rPr>
            </w:pPr>
            <w:r>
              <w:rPr>
                <w:rFonts w:eastAsia="Times New Roman"/>
                <w:sz w:val="20"/>
                <w:szCs w:val="20"/>
              </w:rPr>
              <w:t>30.9</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0" w:type="pct"/>
            <w:shd w:val="clear" w:color="auto" w:fill="CCEEFF"/>
            <w:vAlign w:val="bottom"/>
            <w:hideMark/>
          </w:tcPr>
          <w:p>
            <w:pPr>
              <w:jc w:val="right"/>
              <w:rPr>
                <w:rFonts w:eastAsia="Times New Roman"/>
                <w:sz w:val="20"/>
                <w:szCs w:val="20"/>
              </w:rPr>
            </w:pPr>
            <w:r>
              <w:rPr>
                <w:rFonts w:eastAsia="Times New Roman"/>
                <w:sz w:val="20"/>
                <w:szCs w:val="20"/>
              </w:rPr>
              <w:t>(6</w:t>
            </w:r>
          </w:p>
        </w:tc>
        <w:tc>
          <w:tcPr>
            <w:tcW w:w="50" w:type="pct"/>
            <w:shd w:val="clear" w:color="auto" w:fill="CCEEFF"/>
            <w:vAlign w:val="bottom"/>
            <w:hideMark/>
          </w:tcPr>
          <w:p>
            <w:pPr>
              <w:rPr>
                <w:rFonts w:eastAsia="Times New Roman"/>
                <w:sz w:val="20"/>
                <w:szCs w:val="20"/>
              </w:rPr>
            </w:pPr>
            <w:r>
              <w:rPr>
                <w:rFonts w:eastAsia="Times New Roman"/>
                <w:sz w:val="20"/>
                <w:szCs w:val="20"/>
              </w:rPr>
              <w:t>)</w:t>
            </w:r>
          </w:p>
        </w:tc>
      </w:tr>
      <w:tr>
        <w:tc>
          <w:tcPr>
            <w:tcW w:w="0" w:type="auto"/>
            <w:shd w:val="clear" w:color="auto" w:fill="FFFFFF"/>
            <w:vAlign w:val="bottom"/>
            <w:hideMark/>
          </w:tcPr>
          <w:p>
            <w:pPr>
              <w:rPr>
                <w:rFonts w:eastAsia="Times New Roman"/>
                <w:b/>
                <w:bCs/>
                <w:sz w:val="20"/>
                <w:szCs w:val="20"/>
              </w:rPr>
            </w:pPr>
            <w:r>
              <w:rPr>
                <w:rFonts w:eastAsia="Times New Roman"/>
                <w:b/>
                <w:bCs/>
                <w:sz w:val="20"/>
                <w:szCs w:val="20"/>
              </w:rPr>
              <w:t>Revenues</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r>
        <w:tc>
          <w:tcPr>
            <w:tcW w:w="0" w:type="auto"/>
            <w:shd w:val="clear" w:color="auto" w:fill="CCEEFF"/>
            <w:vAlign w:val="bottom"/>
            <w:hideMark/>
          </w:tcPr>
          <w:p>
            <w:pPr>
              <w:rPr>
                <w:rFonts w:eastAsia="Times New Roman"/>
                <w:sz w:val="20"/>
                <w:szCs w:val="20"/>
              </w:rPr>
            </w:pPr>
            <w:r>
              <w:rPr>
                <w:rFonts w:eastAsia="Times New Roman"/>
                <w:sz w:val="20"/>
                <w:szCs w:val="20"/>
              </w:rPr>
              <w:t>Revenues</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r>
      <w:tr>
        <w:tc>
          <w:tcPr>
            <w:tcW w:w="0" w:type="auto"/>
            <w:shd w:val="clear" w:color="auto" w:fill="CCEEFF"/>
            <w:vAlign w:val="bottom"/>
            <w:hideMark/>
          </w:tcPr>
          <w:p>
            <w:pPr>
              <w:rPr>
                <w:rFonts w:eastAsia="Times New Roman"/>
                <w:sz w:val="20"/>
                <w:szCs w:val="20"/>
              </w:rPr>
            </w:pPr>
            <w:r>
              <w:rPr>
                <w:rFonts w:ascii="Symbol" w:eastAsia="Times New Roman" w:hAnsi="Symbol"/>
                <w:sz w:val="20"/>
                <w:szCs w:val="20"/>
              </w:rPr>
              <w:t>·</w:t>
            </w:r>
            <w:r>
              <w:rPr>
                <w:rFonts w:eastAsia="Times New Roman"/>
                <w:sz w:val="20"/>
                <w:szCs w:val="20"/>
              </w:rPr>
              <w:t>      Germany</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6.8</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7.1</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(4</w:t>
            </w:r>
          </w:p>
        </w:tc>
        <w:tc>
          <w:tcPr>
            <w:tcW w:w="0" w:type="auto"/>
            <w:shd w:val="clear" w:color="auto" w:fill="CCEEFF"/>
            <w:vAlign w:val="bottom"/>
            <w:hideMark/>
          </w:tcPr>
          <w:p>
            <w:pPr>
              <w:rPr>
                <w:rFonts w:eastAsia="Times New Roman"/>
                <w:sz w:val="20"/>
                <w:szCs w:val="20"/>
              </w:rPr>
            </w:pPr>
            <w:r>
              <w:rPr>
                <w:rFonts w:eastAsia="Times New Roman"/>
                <w:sz w:val="20"/>
                <w:szCs w:val="20"/>
              </w:rPr>
              <w:t>)</w:t>
            </w:r>
          </w:p>
        </w:tc>
      </w:tr>
      <w:tr>
        <w:tc>
          <w:tcPr>
            <w:tcW w:w="0" w:type="auto"/>
            <w:shd w:val="clear" w:color="auto" w:fill="CCEEFF"/>
            <w:vAlign w:val="bottom"/>
            <w:hideMark/>
          </w:tcPr>
          <w:p>
            <w:pPr>
              <w:rPr>
                <w:rFonts w:eastAsia="Times New Roman"/>
                <w:sz w:val="20"/>
                <w:szCs w:val="20"/>
              </w:rPr>
            </w:pPr>
            <w:r>
              <w:rPr>
                <w:rFonts w:ascii="Symbol" w:eastAsia="Times New Roman" w:hAnsi="Symbol"/>
                <w:sz w:val="20"/>
                <w:szCs w:val="20"/>
              </w:rPr>
              <w:t>·</w:t>
            </w:r>
            <w:r>
              <w:rPr>
                <w:rFonts w:eastAsia="Times New Roman"/>
                <w:sz w:val="20"/>
                <w:szCs w:val="20"/>
              </w:rPr>
              <w:t>      Israel</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21.6</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23.0</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(6</w:t>
            </w:r>
          </w:p>
        </w:tc>
        <w:tc>
          <w:tcPr>
            <w:tcW w:w="0" w:type="auto"/>
            <w:shd w:val="clear" w:color="auto" w:fill="CCEEFF"/>
            <w:vAlign w:val="bottom"/>
            <w:hideMark/>
          </w:tcPr>
          <w:p>
            <w:pPr>
              <w:rPr>
                <w:rFonts w:eastAsia="Times New Roman"/>
                <w:sz w:val="20"/>
                <w:szCs w:val="20"/>
              </w:rPr>
            </w:pPr>
            <w:r>
              <w:rPr>
                <w:rFonts w:eastAsia="Times New Roman"/>
                <w:sz w:val="20"/>
                <w:szCs w:val="20"/>
              </w:rPr>
              <w:t>)</w:t>
            </w:r>
          </w:p>
        </w:tc>
      </w:tr>
      <w:tr>
        <w:tc>
          <w:tcPr>
            <w:tcW w:w="0" w:type="auto"/>
            <w:shd w:val="clear" w:color="auto" w:fill="CCEEFF"/>
            <w:vAlign w:val="bottom"/>
            <w:hideMark/>
          </w:tcPr>
          <w:p>
            <w:pPr>
              <w:rPr>
                <w:rFonts w:eastAsia="Times New Roman"/>
                <w:sz w:val="20"/>
                <w:szCs w:val="20"/>
              </w:rPr>
            </w:pPr>
            <w:r>
              <w:rPr>
                <w:rFonts w:ascii="Symbol" w:eastAsia="Times New Roman" w:hAnsi="Symbol"/>
                <w:sz w:val="20"/>
                <w:szCs w:val="20"/>
              </w:rPr>
              <w:t>·</w:t>
            </w:r>
            <w:r>
              <w:rPr>
                <w:rFonts w:eastAsia="Times New Roman"/>
                <w:sz w:val="20"/>
                <w:szCs w:val="20"/>
              </w:rPr>
              <w:t>      Rest of the World</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0.6</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0.8</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(25</w:t>
            </w:r>
          </w:p>
        </w:tc>
        <w:tc>
          <w:tcPr>
            <w:tcW w:w="0" w:type="auto"/>
            <w:shd w:val="clear" w:color="auto" w:fill="CCEEFF"/>
            <w:vAlign w:val="bottom"/>
            <w:hideMark/>
          </w:tcPr>
          <w:p>
            <w:pPr>
              <w:rPr>
                <w:rFonts w:eastAsia="Times New Roman"/>
                <w:sz w:val="20"/>
                <w:szCs w:val="20"/>
              </w:rPr>
            </w:pPr>
            <w:r>
              <w:rPr>
                <w:rFonts w:eastAsia="Times New Roman"/>
                <w:sz w:val="20"/>
                <w:szCs w:val="20"/>
              </w:rPr>
              <w:t>)</w:t>
            </w:r>
          </w:p>
        </w:tc>
      </w:tr>
      <w:tr>
        <w:tc>
          <w:tcPr>
            <w:tcW w:w="0" w:type="auto"/>
            <w:shd w:val="clear" w:color="auto" w:fill="FFFFFF"/>
            <w:vAlign w:val="bottom"/>
            <w:hideMark/>
          </w:tcPr>
          <w:p>
            <w:pPr>
              <w:rPr>
                <w:rFonts w:eastAsia="Times New Roman"/>
                <w:sz w:val="20"/>
                <w:szCs w:val="20"/>
              </w:rPr>
            </w:pPr>
            <w:r>
              <w:rPr>
                <w:rFonts w:eastAsia="Times New Roman"/>
                <w:sz w:val="20"/>
                <w:szCs w:val="20"/>
              </w:rPr>
              <w:t>EBIT</w:t>
            </w:r>
          </w:p>
        </w:tc>
        <w:tc>
          <w:tcPr>
            <w:tcW w:w="0" w:type="auto"/>
            <w:shd w:val="clear" w:color="auto" w:fill="FFFF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pPr>
              <w:jc w:val="right"/>
              <w:rPr>
                <w:rFonts w:eastAsia="Times New Roman"/>
                <w:b/>
                <w:bCs/>
                <w:sz w:val="20"/>
                <w:szCs w:val="20"/>
              </w:rPr>
            </w:pPr>
            <w:r>
              <w:rPr>
                <w:rFonts w:eastAsia="Times New Roman"/>
                <w:b/>
                <w:bCs/>
                <w:sz w:val="20"/>
                <w:szCs w:val="20"/>
              </w:rPr>
              <w:t>(4.4</w:t>
            </w:r>
          </w:p>
        </w:tc>
        <w:tc>
          <w:tcPr>
            <w:tcW w:w="0" w:type="auto"/>
            <w:shd w:val="clear" w:color="auto" w:fill="FFFFFF"/>
            <w:vAlign w:val="bottom"/>
            <w:hideMark/>
          </w:tcPr>
          <w:p>
            <w:pPr>
              <w:rPr>
                <w:rFonts w:eastAsia="Times New Roman"/>
                <w:b/>
                <w:bCs/>
                <w:sz w:val="20"/>
                <w:szCs w:val="20"/>
              </w:rPr>
            </w:pPr>
            <w:r>
              <w:rPr>
                <w:rFonts w:eastAsia="Times New Roman"/>
                <w:b/>
                <w:bCs/>
                <w:sz w:val="20"/>
                <w:szCs w:val="20"/>
              </w:rPr>
              <w:t>)</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(1.0</w:t>
            </w:r>
          </w:p>
        </w:tc>
        <w:tc>
          <w:tcPr>
            <w:tcW w:w="0" w:type="auto"/>
            <w:shd w:val="clear" w:color="auto" w:fill="FFFFFF"/>
            <w:vAlign w:val="bottom"/>
            <w:hideMark/>
          </w:tcPr>
          <w:p>
            <w:pPr>
              <w:rPr>
                <w:rFonts w:eastAsia="Times New Roman"/>
                <w:sz w:val="20"/>
                <w:szCs w:val="20"/>
              </w:rPr>
            </w:pPr>
            <w:r>
              <w:rPr>
                <w:rFonts w:eastAsia="Times New Roman"/>
                <w:sz w:val="20"/>
                <w:szCs w:val="20"/>
              </w:rPr>
              <w:t>)</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r>
        <w:tc>
          <w:tcPr>
            <w:tcW w:w="0" w:type="auto"/>
            <w:shd w:val="clear" w:color="auto" w:fill="CCEEFF"/>
            <w:vAlign w:val="bottom"/>
            <w:hideMark/>
          </w:tcPr>
          <w:p>
            <w:pPr>
              <w:rPr>
                <w:rFonts w:eastAsia="Times New Roman"/>
                <w:sz w:val="20"/>
                <w:szCs w:val="20"/>
              </w:rPr>
            </w:pPr>
            <w:r>
              <w:rPr>
                <w:rFonts w:eastAsia="Times New Roman"/>
                <w:sz w:val="20"/>
                <w:szCs w:val="20"/>
              </w:rPr>
              <w:t>EBITDA*</w:t>
            </w:r>
          </w:p>
        </w:tc>
        <w:tc>
          <w:tcPr>
            <w:tcW w:w="0" w:type="auto"/>
            <w:shd w:val="clear" w:color="auto" w:fill="CCEE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pPr>
              <w:jc w:val="right"/>
              <w:rPr>
                <w:rFonts w:eastAsia="Times New Roman"/>
                <w:b/>
                <w:bCs/>
                <w:sz w:val="20"/>
                <w:szCs w:val="20"/>
              </w:rPr>
            </w:pPr>
            <w:r>
              <w:rPr>
                <w:rFonts w:eastAsia="Times New Roman"/>
                <w:b/>
                <w:bCs/>
                <w:sz w:val="20"/>
                <w:szCs w:val="20"/>
              </w:rPr>
              <w:t>(0.9</w:t>
            </w:r>
          </w:p>
        </w:tc>
        <w:tc>
          <w:tcPr>
            <w:tcW w:w="0" w:type="auto"/>
            <w:shd w:val="clear" w:color="auto" w:fill="CCEEFF"/>
            <w:vAlign w:val="bottom"/>
            <w:hideMark/>
          </w:tcPr>
          <w:p>
            <w:pPr>
              <w:rPr>
                <w:rFonts w:eastAsia="Times New Roman"/>
                <w:b/>
                <w:bCs/>
                <w:sz w:val="20"/>
                <w:szCs w:val="20"/>
              </w:rPr>
            </w:pPr>
            <w:r>
              <w:rPr>
                <w:rFonts w:eastAsia="Times New Roman"/>
                <w:b/>
                <w:bCs/>
                <w:sz w:val="20"/>
                <w:szCs w:val="20"/>
              </w:rPr>
              <w:t>)</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2.4</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r>
      <w:tr>
        <w:tc>
          <w:tcPr>
            <w:tcW w:w="0" w:type="auto"/>
            <w:shd w:val="clear" w:color="auto" w:fill="FFFFFF"/>
            <w:vAlign w:val="bottom"/>
            <w:hideMark/>
          </w:tcPr>
          <w:p>
            <w:pPr>
              <w:rPr>
                <w:rFonts w:eastAsia="Times New Roman"/>
                <w:sz w:val="20"/>
                <w:szCs w:val="20"/>
              </w:rPr>
            </w:pPr>
            <w:r>
              <w:rPr>
                <w:rFonts w:eastAsia="Times New Roman"/>
                <w:sz w:val="20"/>
                <w:szCs w:val="20"/>
              </w:rPr>
              <w:t>Net profit (loss)</w:t>
            </w:r>
          </w:p>
        </w:tc>
        <w:tc>
          <w:tcPr>
            <w:tcW w:w="0" w:type="auto"/>
            <w:shd w:val="clear" w:color="auto" w:fill="FFFF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pPr>
              <w:jc w:val="right"/>
              <w:rPr>
                <w:rFonts w:eastAsia="Times New Roman"/>
                <w:b/>
                <w:bCs/>
                <w:sz w:val="20"/>
                <w:szCs w:val="20"/>
              </w:rPr>
            </w:pPr>
            <w:r>
              <w:rPr>
                <w:rFonts w:eastAsia="Times New Roman"/>
                <w:b/>
                <w:bCs/>
                <w:sz w:val="20"/>
                <w:szCs w:val="20"/>
              </w:rPr>
              <w:t>(2.1</w:t>
            </w:r>
          </w:p>
        </w:tc>
        <w:tc>
          <w:tcPr>
            <w:tcW w:w="0" w:type="auto"/>
            <w:shd w:val="clear" w:color="auto" w:fill="FFFFFF"/>
            <w:vAlign w:val="bottom"/>
            <w:hideMark/>
          </w:tcPr>
          <w:p>
            <w:pPr>
              <w:rPr>
                <w:rFonts w:eastAsia="Times New Roman"/>
                <w:b/>
                <w:bCs/>
                <w:sz w:val="20"/>
                <w:szCs w:val="20"/>
              </w:rPr>
            </w:pPr>
            <w:r>
              <w:rPr>
                <w:rFonts w:eastAsia="Times New Roman"/>
                <w:b/>
                <w:bCs/>
                <w:sz w:val="20"/>
                <w:szCs w:val="20"/>
              </w:rPr>
              <w:t>)</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0.1</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r>
        <w:tc>
          <w:tcPr>
            <w:tcW w:w="0" w:type="auto"/>
            <w:shd w:val="clear" w:color="auto" w:fill="CCEEFF"/>
            <w:vAlign w:val="bottom"/>
            <w:hideMark/>
          </w:tcPr>
          <w:p>
            <w:pPr>
              <w:jc w:val="both"/>
              <w:rPr>
                <w:rFonts w:eastAsia="Times New Roman"/>
                <w:sz w:val="20"/>
                <w:szCs w:val="20"/>
              </w:rPr>
            </w:pPr>
            <w:r>
              <w:rPr>
                <w:rFonts w:eastAsia="Times New Roman"/>
                <w:sz w:val="20"/>
                <w:szCs w:val="20"/>
              </w:rPr>
              <w:t>EPS (Basic loss)</w:t>
            </w:r>
          </w:p>
        </w:tc>
        <w:tc>
          <w:tcPr>
            <w:tcW w:w="0" w:type="auto"/>
            <w:shd w:val="clear" w:color="auto" w:fill="CCEE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pPr>
              <w:jc w:val="right"/>
              <w:rPr>
                <w:rFonts w:eastAsia="Times New Roman"/>
                <w:b/>
                <w:bCs/>
                <w:sz w:val="20"/>
                <w:szCs w:val="20"/>
              </w:rPr>
            </w:pPr>
            <w:r>
              <w:rPr>
                <w:rFonts w:eastAsia="Times New Roman"/>
                <w:b/>
                <w:bCs/>
                <w:sz w:val="20"/>
                <w:szCs w:val="20"/>
              </w:rPr>
              <w:t>(0.14</w:t>
            </w:r>
          </w:p>
        </w:tc>
        <w:tc>
          <w:tcPr>
            <w:tcW w:w="0" w:type="auto"/>
            <w:shd w:val="clear" w:color="auto" w:fill="CCEEFF"/>
            <w:vAlign w:val="bottom"/>
            <w:hideMark/>
          </w:tcPr>
          <w:p>
            <w:pPr>
              <w:rPr>
                <w:rFonts w:eastAsia="Times New Roman"/>
                <w:b/>
                <w:bCs/>
                <w:sz w:val="20"/>
                <w:szCs w:val="20"/>
              </w:rPr>
            </w:pPr>
            <w:r>
              <w:rPr>
                <w:rFonts w:eastAsia="Times New Roman"/>
                <w:b/>
                <w:bCs/>
                <w:sz w:val="20"/>
                <w:szCs w:val="20"/>
              </w:rPr>
              <w:t>)</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0.00</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r>
      <w:tr>
        <w:tc>
          <w:tcPr>
            <w:tcW w:w="0" w:type="auto"/>
            <w:shd w:val="clear" w:color="auto" w:fill="FFFFFF"/>
            <w:vAlign w:val="bottom"/>
            <w:hideMark/>
          </w:tcPr>
          <w:p>
            <w:pPr>
              <w:jc w:val="both"/>
              <w:rPr>
                <w:rFonts w:eastAsia="Times New Roman"/>
                <w:sz w:val="20"/>
                <w:szCs w:val="20"/>
              </w:rPr>
            </w:pPr>
            <w:r>
              <w:rPr>
                <w:rFonts w:eastAsia="Times New Roman"/>
                <w:sz w:val="20"/>
                <w:szCs w:val="20"/>
              </w:rPr>
              <w:t>Operating cash flow</w:t>
            </w:r>
          </w:p>
        </w:tc>
        <w:tc>
          <w:tcPr>
            <w:tcW w:w="0" w:type="auto"/>
            <w:shd w:val="clear" w:color="auto" w:fill="FFFF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pPr>
              <w:jc w:val="right"/>
              <w:rPr>
                <w:rFonts w:eastAsia="Times New Roman"/>
                <w:b/>
                <w:bCs/>
                <w:sz w:val="20"/>
                <w:szCs w:val="20"/>
              </w:rPr>
            </w:pPr>
            <w:r>
              <w:rPr>
                <w:rFonts w:eastAsia="Times New Roman"/>
                <w:b/>
                <w:bCs/>
                <w:sz w:val="20"/>
                <w:szCs w:val="20"/>
              </w:rPr>
              <w:t>(3.3</w:t>
            </w:r>
          </w:p>
        </w:tc>
        <w:tc>
          <w:tcPr>
            <w:tcW w:w="0" w:type="auto"/>
            <w:shd w:val="clear" w:color="auto" w:fill="FFFFFF"/>
            <w:vAlign w:val="bottom"/>
            <w:hideMark/>
          </w:tcPr>
          <w:p>
            <w:pPr>
              <w:rPr>
                <w:rFonts w:eastAsia="Times New Roman"/>
                <w:b/>
                <w:bCs/>
                <w:sz w:val="20"/>
                <w:szCs w:val="20"/>
              </w:rPr>
            </w:pPr>
            <w:r>
              <w:rPr>
                <w:rFonts w:eastAsia="Times New Roman"/>
                <w:b/>
                <w:bCs/>
                <w:sz w:val="20"/>
                <w:szCs w:val="20"/>
              </w:rPr>
              <w:t>)</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1.7</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bl>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 EBITDA: operating profit excluding depreciation and amortization expenses of USD 3.5m, and USD 3.4m in the comparable period</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b/>
          <w:bCs/>
          <w:sz w:val="20"/>
          <w:szCs w:val="20"/>
        </w:rPr>
        <w:t>Adjusted key figures (in constant currency):</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In the table below, HY2022 results have been presented at HY2023 exchange rates. Management believes that this presentation enables a more meaningful comparison between the periods due to the significant fluctuations in NIS/USD/EUR exchange rates during the period.</w:t>
      </w:r>
    </w:p>
    <w:p>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6148"/>
        <w:gridCol w:w="100"/>
        <w:gridCol w:w="101"/>
        <w:gridCol w:w="1008"/>
        <w:gridCol w:w="101"/>
        <w:gridCol w:w="101"/>
        <w:gridCol w:w="101"/>
        <w:gridCol w:w="1008"/>
        <w:gridCol w:w="101"/>
        <w:gridCol w:w="101"/>
        <w:gridCol w:w="101"/>
        <w:gridCol w:w="1008"/>
        <w:gridCol w:w="101"/>
      </w:tblGrid>
      <w:tr>
        <w:tc>
          <w:tcPr>
            <w:tcW w:w="0" w:type="auto"/>
            <w:tcBorders>
              <w:bottom w:val="single" w:sz="8" w:space="0" w:color="000000"/>
            </w:tcBorders>
            <w:vAlign w:val="bottom"/>
            <w:hideMark/>
          </w:tcPr>
          <w:p>
            <w:pPr>
              <w:rPr>
                <w:rFonts w:eastAsia="Times New Roman"/>
                <w:sz w:val="20"/>
                <w:szCs w:val="20"/>
              </w:rPr>
            </w:pPr>
            <w:r>
              <w:rPr>
                <w:rFonts w:eastAsia="Times New Roman"/>
                <w:sz w:val="20"/>
                <w:szCs w:val="20"/>
              </w:rPr>
              <w:t>In USD million</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gridSpan w:val="2"/>
            <w:tcBorders>
              <w:bottom w:val="single" w:sz="8" w:space="0" w:color="000000"/>
            </w:tcBorders>
            <w:vAlign w:val="bottom"/>
            <w:hideMark/>
          </w:tcPr>
          <w:p>
            <w:pPr>
              <w:jc w:val="center"/>
              <w:rPr>
                <w:rFonts w:eastAsia="Times New Roman"/>
                <w:b/>
                <w:bCs/>
                <w:sz w:val="20"/>
                <w:szCs w:val="20"/>
              </w:rPr>
            </w:pPr>
            <w:r>
              <w:rPr>
                <w:rFonts w:eastAsia="Times New Roman"/>
                <w:b/>
                <w:bCs/>
                <w:sz w:val="20"/>
                <w:szCs w:val="20"/>
              </w:rPr>
              <w:t>HY2023</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gridSpan w:val="2"/>
            <w:tcBorders>
              <w:bottom w:val="single" w:sz="8" w:space="0" w:color="000000"/>
            </w:tcBorders>
            <w:vAlign w:val="bottom"/>
            <w:hideMark/>
          </w:tcPr>
          <w:p>
            <w:pPr>
              <w:jc w:val="center"/>
              <w:rPr>
                <w:rFonts w:eastAsia="Times New Roman"/>
                <w:sz w:val="20"/>
                <w:szCs w:val="20"/>
              </w:rPr>
            </w:pPr>
            <w:r>
              <w:rPr>
                <w:rFonts w:eastAsia="Times New Roman"/>
                <w:sz w:val="20"/>
                <w:szCs w:val="20"/>
              </w:rPr>
              <w:t>HY2022</w:t>
            </w:r>
          </w:p>
        </w:tc>
        <w:tc>
          <w:tcPr>
            <w:tcW w:w="0" w:type="auto"/>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gridSpan w:val="2"/>
            <w:tcBorders>
              <w:bottom w:val="single" w:sz="8" w:space="0" w:color="000000"/>
            </w:tcBorders>
            <w:vAlign w:val="bottom"/>
            <w:hideMark/>
          </w:tcPr>
          <w:p>
            <w:pPr>
              <w:jc w:val="center"/>
              <w:rPr>
                <w:rFonts w:eastAsia="Times New Roman"/>
                <w:sz w:val="20"/>
                <w:szCs w:val="20"/>
              </w:rPr>
            </w:pPr>
            <w:r>
              <w:rPr>
                <w:rFonts w:eastAsia="Times New Roman"/>
                <w:sz w:val="20"/>
                <w:szCs w:val="20"/>
              </w:rPr>
              <w:t>% change</w:t>
            </w:r>
          </w:p>
        </w:tc>
        <w:tc>
          <w:tcPr>
            <w:tcW w:w="0" w:type="auto"/>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r>
      <w:tr>
        <w:tc>
          <w:tcPr>
            <w:tcW w:w="3050" w:type="pct"/>
            <w:shd w:val="clear" w:color="auto" w:fill="CCEEFF"/>
            <w:vAlign w:val="bottom"/>
            <w:hideMark/>
          </w:tcPr>
          <w:p>
            <w:pPr>
              <w:rPr>
                <w:rFonts w:eastAsia="Times New Roman"/>
                <w:sz w:val="20"/>
                <w:szCs w:val="20"/>
              </w:rPr>
            </w:pPr>
            <w:r>
              <w:rPr>
                <w:rFonts w:eastAsia="Times New Roman"/>
                <w:sz w:val="20"/>
                <w:szCs w:val="20"/>
              </w:rPr>
              <w:t>Revenues</w:t>
            </w:r>
          </w:p>
        </w:tc>
        <w:tc>
          <w:tcPr>
            <w:tcW w:w="50" w:type="pct"/>
            <w:shd w:val="clear" w:color="auto" w:fill="CCEEFF"/>
            <w:vAlign w:val="bottom"/>
            <w:hideMark/>
          </w:tcPr>
          <w:p>
            <w:pPr>
              <w:rPr>
                <w:rFonts w:eastAsia="Times New Roman"/>
                <w:b/>
                <w:bCs/>
                <w:sz w:val="20"/>
                <w:szCs w:val="20"/>
              </w:rPr>
            </w:pPr>
            <w:r>
              <w:rPr>
                <w:rFonts w:eastAsia="Times New Roman"/>
                <w:b/>
                <w:bCs/>
                <w:sz w:val="20"/>
                <w:szCs w:val="20"/>
              </w:rPr>
              <w:t> </w:t>
            </w:r>
          </w:p>
        </w:tc>
        <w:tc>
          <w:tcPr>
            <w:tcW w:w="50" w:type="pct"/>
            <w:shd w:val="clear" w:color="auto" w:fill="CCEEFF"/>
            <w:vAlign w:val="bottom"/>
            <w:hideMark/>
          </w:tcPr>
          <w:p>
            <w:pPr>
              <w:rPr>
                <w:rFonts w:eastAsia="Times New Roman"/>
                <w:b/>
                <w:bCs/>
                <w:sz w:val="20"/>
                <w:szCs w:val="20"/>
              </w:rPr>
            </w:pPr>
            <w:r>
              <w:rPr>
                <w:rFonts w:eastAsia="Times New Roman"/>
                <w:b/>
                <w:bCs/>
                <w:sz w:val="20"/>
                <w:szCs w:val="20"/>
              </w:rPr>
              <w:t> </w:t>
            </w:r>
          </w:p>
        </w:tc>
        <w:tc>
          <w:tcPr>
            <w:tcW w:w="500" w:type="pct"/>
            <w:shd w:val="clear" w:color="auto" w:fill="CCEEFF"/>
            <w:vAlign w:val="bottom"/>
            <w:hideMark/>
          </w:tcPr>
          <w:p>
            <w:pPr>
              <w:jc w:val="right"/>
              <w:rPr>
                <w:rFonts w:eastAsia="Times New Roman"/>
                <w:b/>
                <w:bCs/>
                <w:sz w:val="20"/>
                <w:szCs w:val="20"/>
              </w:rPr>
            </w:pPr>
            <w:r>
              <w:rPr>
                <w:rFonts w:eastAsia="Times New Roman"/>
                <w:b/>
                <w:bCs/>
                <w:sz w:val="20"/>
                <w:szCs w:val="20"/>
              </w:rPr>
              <w:t>29.0</w:t>
            </w:r>
          </w:p>
        </w:tc>
        <w:tc>
          <w:tcPr>
            <w:tcW w:w="50" w:type="pct"/>
            <w:shd w:val="clear" w:color="auto" w:fill="CCEEFF"/>
            <w:vAlign w:val="bottom"/>
            <w:hideMark/>
          </w:tcPr>
          <w:p>
            <w:pPr>
              <w:rPr>
                <w:rFonts w:eastAsia="Times New Roman"/>
                <w:b/>
                <w:bCs/>
                <w:sz w:val="20"/>
                <w:szCs w:val="20"/>
              </w:rPr>
            </w:pPr>
            <w:r>
              <w:rPr>
                <w:rFonts w:eastAsia="Times New Roman"/>
                <w:b/>
                <w:bCs/>
                <w:sz w:val="20"/>
                <w:szCs w:val="20"/>
              </w:rPr>
              <w:t> </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0" w:type="pct"/>
            <w:shd w:val="clear" w:color="auto" w:fill="CCEEFF"/>
            <w:vAlign w:val="bottom"/>
            <w:hideMark/>
          </w:tcPr>
          <w:p>
            <w:pPr>
              <w:jc w:val="right"/>
              <w:rPr>
                <w:rFonts w:eastAsia="Times New Roman"/>
                <w:sz w:val="20"/>
                <w:szCs w:val="20"/>
              </w:rPr>
            </w:pPr>
            <w:r>
              <w:rPr>
                <w:rFonts w:eastAsia="Times New Roman"/>
                <w:sz w:val="20"/>
                <w:szCs w:val="20"/>
              </w:rPr>
              <w:t>28.8</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0" w:type="pct"/>
            <w:shd w:val="clear" w:color="auto" w:fill="CCEEFF"/>
            <w:vAlign w:val="bottom"/>
            <w:hideMark/>
          </w:tcPr>
          <w:p>
            <w:pPr>
              <w:jc w:val="right"/>
              <w:rPr>
                <w:rFonts w:eastAsia="Times New Roman"/>
                <w:sz w:val="20"/>
                <w:szCs w:val="20"/>
              </w:rPr>
            </w:pPr>
            <w:r>
              <w:rPr>
                <w:rFonts w:eastAsia="Times New Roman"/>
                <w:sz w:val="20"/>
                <w:szCs w:val="20"/>
              </w:rPr>
              <w:t>1</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r>
      <w:tr>
        <w:tc>
          <w:tcPr>
            <w:tcW w:w="0" w:type="auto"/>
            <w:shd w:val="clear" w:color="auto" w:fill="FFFFFF"/>
            <w:vAlign w:val="bottom"/>
            <w:hideMark/>
          </w:tcPr>
          <w:p>
            <w:pPr>
              <w:rPr>
                <w:rFonts w:eastAsia="Times New Roman"/>
                <w:sz w:val="20"/>
                <w:szCs w:val="20"/>
              </w:rPr>
            </w:pPr>
            <w:r>
              <w:rPr>
                <w:rFonts w:eastAsia="Times New Roman"/>
                <w:sz w:val="20"/>
                <w:szCs w:val="20"/>
              </w:rPr>
              <w:t>Revenues</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r>
        <w:tc>
          <w:tcPr>
            <w:tcW w:w="0" w:type="auto"/>
            <w:shd w:val="clear" w:color="auto" w:fill="FFFFFF"/>
            <w:vAlign w:val="bottom"/>
            <w:hideMark/>
          </w:tcPr>
          <w:p>
            <w:pPr>
              <w:rPr>
                <w:rFonts w:eastAsia="Times New Roman"/>
                <w:sz w:val="20"/>
                <w:szCs w:val="20"/>
              </w:rPr>
            </w:pPr>
            <w:r>
              <w:rPr>
                <w:rFonts w:ascii="Symbol" w:eastAsia="Times New Roman" w:hAnsi="Symbol"/>
                <w:sz w:val="20"/>
                <w:szCs w:val="20"/>
              </w:rPr>
              <w:t>·</w:t>
            </w:r>
            <w:r>
              <w:rPr>
                <w:rFonts w:eastAsia="Times New Roman"/>
                <w:sz w:val="20"/>
                <w:szCs w:val="20"/>
              </w:rPr>
              <w:t>      Germany</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6.8</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7.0</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(3</w:t>
            </w:r>
          </w:p>
        </w:tc>
        <w:tc>
          <w:tcPr>
            <w:tcW w:w="0" w:type="auto"/>
            <w:shd w:val="clear" w:color="auto" w:fill="FFFFFF"/>
            <w:vAlign w:val="bottom"/>
            <w:hideMark/>
          </w:tcPr>
          <w:p>
            <w:pPr>
              <w:rPr>
                <w:rFonts w:eastAsia="Times New Roman"/>
                <w:sz w:val="20"/>
                <w:szCs w:val="20"/>
              </w:rPr>
            </w:pPr>
            <w:r>
              <w:rPr>
                <w:rFonts w:eastAsia="Times New Roman"/>
                <w:sz w:val="20"/>
                <w:szCs w:val="20"/>
              </w:rPr>
              <w:t>)</w:t>
            </w:r>
          </w:p>
        </w:tc>
      </w:tr>
      <w:tr>
        <w:tc>
          <w:tcPr>
            <w:tcW w:w="0" w:type="auto"/>
            <w:shd w:val="clear" w:color="auto" w:fill="FFFFFF"/>
            <w:vAlign w:val="bottom"/>
            <w:hideMark/>
          </w:tcPr>
          <w:p>
            <w:pPr>
              <w:rPr>
                <w:rFonts w:eastAsia="Times New Roman"/>
                <w:sz w:val="20"/>
                <w:szCs w:val="20"/>
              </w:rPr>
            </w:pPr>
            <w:r>
              <w:rPr>
                <w:rFonts w:ascii="Symbol" w:eastAsia="Times New Roman" w:hAnsi="Symbol"/>
                <w:sz w:val="20"/>
                <w:szCs w:val="20"/>
              </w:rPr>
              <w:t>·</w:t>
            </w:r>
            <w:r>
              <w:rPr>
                <w:rFonts w:eastAsia="Times New Roman"/>
                <w:sz w:val="20"/>
                <w:szCs w:val="20"/>
              </w:rPr>
              <w:t>      Israel</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21.6</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21.0</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3</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r>
        <w:tc>
          <w:tcPr>
            <w:tcW w:w="0" w:type="auto"/>
            <w:shd w:val="clear" w:color="auto" w:fill="FFFFFF"/>
            <w:vAlign w:val="bottom"/>
            <w:hideMark/>
          </w:tcPr>
          <w:p>
            <w:pPr>
              <w:rPr>
                <w:rFonts w:eastAsia="Times New Roman"/>
                <w:sz w:val="20"/>
                <w:szCs w:val="20"/>
              </w:rPr>
            </w:pPr>
            <w:r>
              <w:rPr>
                <w:rFonts w:ascii="Symbol" w:eastAsia="Times New Roman" w:hAnsi="Symbol"/>
                <w:sz w:val="20"/>
                <w:szCs w:val="20"/>
              </w:rPr>
              <w:t>·</w:t>
            </w:r>
            <w:r>
              <w:rPr>
                <w:rFonts w:eastAsia="Times New Roman"/>
                <w:sz w:val="20"/>
                <w:szCs w:val="20"/>
              </w:rPr>
              <w:t>      Rest of the World</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0.6</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0.8</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(25</w:t>
            </w:r>
          </w:p>
        </w:tc>
        <w:tc>
          <w:tcPr>
            <w:tcW w:w="0" w:type="auto"/>
            <w:shd w:val="clear" w:color="auto" w:fill="FFFFFF"/>
            <w:vAlign w:val="bottom"/>
            <w:hideMark/>
          </w:tcPr>
          <w:p>
            <w:pPr>
              <w:rPr>
                <w:rFonts w:eastAsia="Times New Roman"/>
                <w:sz w:val="20"/>
                <w:szCs w:val="20"/>
              </w:rPr>
            </w:pPr>
            <w:r>
              <w:rPr>
                <w:rFonts w:eastAsia="Times New Roman"/>
                <w:sz w:val="20"/>
                <w:szCs w:val="20"/>
              </w:rPr>
              <w:t>)</w:t>
            </w:r>
          </w:p>
        </w:tc>
      </w:tr>
      <w:tr>
        <w:tc>
          <w:tcPr>
            <w:tcW w:w="0" w:type="auto"/>
            <w:shd w:val="clear" w:color="auto" w:fill="CCEEFF"/>
            <w:vAlign w:val="bottom"/>
            <w:hideMark/>
          </w:tcPr>
          <w:p>
            <w:pPr>
              <w:rPr>
                <w:rFonts w:eastAsia="Times New Roman"/>
                <w:sz w:val="20"/>
                <w:szCs w:val="20"/>
              </w:rPr>
            </w:pPr>
            <w:r>
              <w:rPr>
                <w:rFonts w:eastAsia="Times New Roman"/>
                <w:sz w:val="20"/>
                <w:szCs w:val="20"/>
              </w:rPr>
              <w:t>Adjusted EBIT**</w:t>
            </w:r>
          </w:p>
        </w:tc>
        <w:tc>
          <w:tcPr>
            <w:tcW w:w="0" w:type="auto"/>
            <w:shd w:val="clear" w:color="auto" w:fill="CCEE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pPr>
              <w:jc w:val="right"/>
              <w:rPr>
                <w:rFonts w:eastAsia="Times New Roman"/>
                <w:b/>
                <w:bCs/>
                <w:sz w:val="20"/>
                <w:szCs w:val="20"/>
              </w:rPr>
            </w:pPr>
            <w:r>
              <w:rPr>
                <w:rFonts w:eastAsia="Times New Roman"/>
                <w:b/>
                <w:bCs/>
                <w:sz w:val="20"/>
                <w:szCs w:val="20"/>
              </w:rPr>
              <w:t>(3.1</w:t>
            </w:r>
          </w:p>
        </w:tc>
        <w:tc>
          <w:tcPr>
            <w:tcW w:w="0" w:type="auto"/>
            <w:shd w:val="clear" w:color="auto" w:fill="CCEEFF"/>
            <w:vAlign w:val="bottom"/>
            <w:hideMark/>
          </w:tcPr>
          <w:p>
            <w:pPr>
              <w:rPr>
                <w:rFonts w:eastAsia="Times New Roman"/>
                <w:b/>
                <w:bCs/>
                <w:sz w:val="20"/>
                <w:szCs w:val="20"/>
              </w:rPr>
            </w:pPr>
            <w:r>
              <w:rPr>
                <w:rFonts w:eastAsia="Times New Roman"/>
                <w:b/>
                <w:bCs/>
                <w:sz w:val="20"/>
                <w:szCs w:val="20"/>
              </w:rPr>
              <w:t>)</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(0.1</w:t>
            </w:r>
          </w:p>
        </w:tc>
        <w:tc>
          <w:tcPr>
            <w:tcW w:w="0" w:type="auto"/>
            <w:shd w:val="clear" w:color="auto" w:fill="CCEEFF"/>
            <w:vAlign w:val="bottom"/>
            <w:hideMark/>
          </w:tcPr>
          <w:p>
            <w:pPr>
              <w:rPr>
                <w:rFonts w:eastAsia="Times New Roman"/>
                <w:sz w:val="20"/>
                <w:szCs w:val="20"/>
              </w:rPr>
            </w:pPr>
            <w:r>
              <w:rPr>
                <w:rFonts w:eastAsia="Times New Roman"/>
                <w:sz w:val="20"/>
                <w:szCs w:val="20"/>
              </w:rPr>
              <w:t>)</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r>
      <w:tr>
        <w:tc>
          <w:tcPr>
            <w:tcW w:w="0" w:type="auto"/>
            <w:shd w:val="clear" w:color="auto" w:fill="FFFFFF"/>
            <w:vAlign w:val="bottom"/>
            <w:hideMark/>
          </w:tcPr>
          <w:p>
            <w:pPr>
              <w:rPr>
                <w:rFonts w:eastAsia="Times New Roman"/>
                <w:sz w:val="20"/>
                <w:szCs w:val="20"/>
              </w:rPr>
            </w:pPr>
            <w:r>
              <w:rPr>
                <w:rFonts w:eastAsia="Times New Roman"/>
                <w:sz w:val="20"/>
                <w:szCs w:val="20"/>
              </w:rPr>
              <w:t>Adjusted EBITDA ***</w:t>
            </w:r>
          </w:p>
        </w:tc>
        <w:tc>
          <w:tcPr>
            <w:tcW w:w="0" w:type="auto"/>
            <w:shd w:val="clear" w:color="auto" w:fill="FFFF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pPr>
              <w:jc w:val="right"/>
              <w:rPr>
                <w:rFonts w:eastAsia="Times New Roman"/>
                <w:b/>
                <w:bCs/>
                <w:sz w:val="20"/>
                <w:szCs w:val="20"/>
              </w:rPr>
            </w:pPr>
            <w:r>
              <w:rPr>
                <w:rFonts w:eastAsia="Times New Roman"/>
                <w:b/>
                <w:bCs/>
                <w:sz w:val="20"/>
                <w:szCs w:val="20"/>
              </w:rPr>
              <w:t>0.4</w:t>
            </w:r>
          </w:p>
        </w:tc>
        <w:tc>
          <w:tcPr>
            <w:tcW w:w="0" w:type="auto"/>
            <w:shd w:val="clear" w:color="auto" w:fill="FFFF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3.1</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bl>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**Adjusted EBIT: Please see the EBITDA, Adjusted EBITDA and Adjusted EBIT Table below.</w:t>
      </w:r>
    </w:p>
    <w:p>
      <w:pPr>
        <w:pStyle w:val="NormalWeb"/>
        <w:spacing w:before="0" w:beforeAutospacing="0" w:after="0" w:afterAutospacing="0"/>
        <w:rPr>
          <w:sz w:val="20"/>
          <w:szCs w:val="20"/>
        </w:rPr>
      </w:pPr>
      <w:r>
        <w:rPr>
          <w:sz w:val="20"/>
          <w:szCs w:val="20"/>
        </w:rPr>
        <w:t>***Adjusted EBITDA: Please see the EBITDA, Adjusted EBITDA and Adjusted EBIT Table below.</w:t>
      </w:r>
    </w:p>
    <w:p>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3327"/>
        <w:gridCol w:w="3427"/>
        <w:gridCol w:w="3326"/>
      </w:tblGrid>
      <w:tr>
        <w:trPr>
          <w:divId w:val="1176729522"/>
        </w:trPr>
        <w:tc>
          <w:tcPr>
            <w:tcW w:w="1650" w:type="pct"/>
            <w:hideMark/>
          </w:tcPr>
          <w:p>
            <w:pPr>
              <w:rPr>
                <w:rFonts w:eastAsia="Times New Roman"/>
                <w:sz w:val="20"/>
                <w:szCs w:val="20"/>
              </w:rPr>
            </w:pPr>
            <w:r>
              <w:rPr>
                <w:rFonts w:eastAsia="Times New Roman"/>
                <w:sz w:val="20"/>
                <w:szCs w:val="20"/>
              </w:rPr>
              <w:t> </w:t>
            </w:r>
          </w:p>
        </w:tc>
        <w:tc>
          <w:tcPr>
            <w:tcW w:w="1700" w:type="pct"/>
            <w:hideMark/>
          </w:tcPr>
          <w:p>
            <w:pPr>
              <w:rPr>
                <w:rFonts w:eastAsia="Times New Roman"/>
                <w:sz w:val="20"/>
                <w:szCs w:val="20"/>
              </w:rPr>
            </w:pPr>
            <w:r>
              <w:rPr>
                <w:rFonts w:eastAsia="Times New Roman"/>
                <w:sz w:val="20"/>
                <w:szCs w:val="20"/>
              </w:rPr>
              <w:t> </w:t>
            </w:r>
          </w:p>
        </w:tc>
        <w:tc>
          <w:tcPr>
            <w:tcW w:w="1650" w:type="pct"/>
            <w:hideMark/>
          </w:tcPr>
          <w:p>
            <w:pPr>
              <w:rPr>
                <w:rFonts w:eastAsia="Times New Roman"/>
                <w:sz w:val="20"/>
                <w:szCs w:val="20"/>
              </w:rPr>
            </w:pPr>
            <w:r>
              <w:rPr>
                <w:rFonts w:eastAsia="Times New Roman"/>
                <w:sz w:val="20"/>
                <w:szCs w:val="20"/>
              </w:rPr>
              <w:t> </w:t>
            </w:r>
          </w:p>
        </w:tc>
      </w:tr>
    </w:tbl>
    <w:p>
      <w:pPr>
        <w:pStyle w:val="NormalWeb"/>
        <w:pageBreakBefore/>
        <w:spacing w:before="0" w:beforeAutospacing="0" w:after="0" w:afterAutospacing="0"/>
        <w:divId w:val="550269062"/>
        <w:rPr>
          <w:sz w:val="20"/>
          <w:szCs w:val="20"/>
        </w:rPr>
      </w:pPr>
      <w:r>
        <w:rPr>
          <w:sz w:val="20"/>
          <w:szCs w:val="20"/>
        </w:rPr>
        <w:lastRenderedPageBreak/>
        <w:t> </w:t>
      </w:r>
    </w:p>
    <w:p>
      <w:pPr>
        <w:pStyle w:val="NormalWeb"/>
        <w:spacing w:before="0" w:beforeAutospacing="0" w:after="0" w:afterAutospacing="0"/>
        <w:divId w:val="1530223067"/>
        <w:rPr>
          <w:sz w:val="20"/>
          <w:szCs w:val="20"/>
        </w:rPr>
      </w:pP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noProof/>
          <w:sz w:val="20"/>
          <w:szCs w:val="20"/>
        </w:rPr>
        <w:drawing>
          <wp:inline distT="0" distB="0" distL="0" distR="0">
            <wp:extent cx="1885950" cy="885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85950" cy="885825"/>
                    </a:xfrm>
                    <a:prstGeom prst="rect">
                      <a:avLst/>
                    </a:prstGeom>
                    <a:noFill/>
                    <a:ln>
                      <a:noFill/>
                    </a:ln>
                  </pic:spPr>
                </pic:pic>
              </a:graphicData>
            </a:graphic>
          </wp:inline>
        </w:drawing>
      </w: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b/>
          <w:bCs/>
          <w:sz w:val="20"/>
          <w:szCs w:val="20"/>
        </w:rPr>
        <w:t xml:space="preserve">EBITDA, Adjusted EBITDA and Adjusted EBIT Tables </w:t>
      </w:r>
      <w:r>
        <w:rPr>
          <w:sz w:val="20"/>
          <w:szCs w:val="20"/>
        </w:rPr>
        <w:t>(HY2022 results are presented in HY2023 exchange rates)</w:t>
      </w:r>
    </w:p>
    <w:p>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7458"/>
        <w:gridCol w:w="101"/>
        <w:gridCol w:w="101"/>
        <w:gridCol w:w="1008"/>
        <w:gridCol w:w="101"/>
        <w:gridCol w:w="101"/>
        <w:gridCol w:w="101"/>
        <w:gridCol w:w="1008"/>
        <w:gridCol w:w="101"/>
      </w:tblGrid>
      <w:tr>
        <w:tc>
          <w:tcPr>
            <w:tcW w:w="0" w:type="auto"/>
            <w:vAlign w:val="bottom"/>
            <w:hideMark/>
          </w:tcPr>
          <w:p>
            <w:pPr>
              <w:rPr>
                <w:rFonts w:eastAsia="Times New Roman"/>
                <w:b/>
                <w:bCs/>
                <w:sz w:val="20"/>
                <w:szCs w:val="20"/>
              </w:rPr>
            </w:pPr>
            <w:r>
              <w:rPr>
                <w:rFonts w:eastAsia="Times New Roman"/>
                <w:b/>
                <w:bCs/>
                <w:sz w:val="20"/>
                <w:szCs w:val="20"/>
              </w:rPr>
              <w:t>EBITDA:</w:t>
            </w:r>
          </w:p>
        </w:tc>
        <w:tc>
          <w:tcPr>
            <w:tcW w:w="0" w:type="auto"/>
            <w:vAlign w:val="bottom"/>
            <w:hideMark/>
          </w:tcPr>
          <w:p>
            <w:pPr>
              <w:rPr>
                <w:rFonts w:eastAsia="Times New Roman"/>
                <w:sz w:val="20"/>
                <w:szCs w:val="20"/>
              </w:rPr>
            </w:pPr>
            <w:r>
              <w:rPr>
                <w:rFonts w:eastAsia="Times New Roman"/>
                <w:sz w:val="20"/>
                <w:szCs w:val="20"/>
              </w:rPr>
              <w:t> </w:t>
            </w:r>
          </w:p>
        </w:tc>
        <w:tc>
          <w:tcPr>
            <w:tcW w:w="0" w:type="auto"/>
            <w:gridSpan w:val="2"/>
            <w:vAlign w:val="bottom"/>
            <w:hideMark/>
          </w:tcPr>
          <w:p>
            <w:pPr>
              <w:rPr>
                <w:rFonts w:eastAsia="Times New Roman"/>
                <w:sz w:val="20"/>
                <w:szCs w:val="20"/>
              </w:rPr>
            </w:pPr>
            <w:r>
              <w:rPr>
                <w:rFonts w:eastAsia="Times New Roman"/>
                <w:sz w:val="20"/>
                <w:szCs w:val="20"/>
              </w:rPr>
              <w:t> </w:t>
            </w:r>
          </w:p>
        </w:tc>
        <w:tc>
          <w:tcPr>
            <w:tcW w:w="0" w:type="auto"/>
            <w:vAlign w:val="bottom"/>
            <w:hideMark/>
          </w:tcPr>
          <w:p>
            <w:pPr>
              <w:rPr>
                <w:rFonts w:eastAsia="Times New Roman"/>
                <w:sz w:val="20"/>
                <w:szCs w:val="20"/>
              </w:rPr>
            </w:pPr>
            <w:r>
              <w:rPr>
                <w:rFonts w:eastAsia="Times New Roman"/>
                <w:sz w:val="20"/>
                <w:szCs w:val="20"/>
              </w:rPr>
              <w:t> </w:t>
            </w:r>
          </w:p>
        </w:tc>
        <w:tc>
          <w:tcPr>
            <w:tcW w:w="0" w:type="auto"/>
            <w:vAlign w:val="bottom"/>
            <w:hideMark/>
          </w:tcPr>
          <w:p>
            <w:pPr>
              <w:rPr>
                <w:rFonts w:eastAsia="Times New Roman"/>
                <w:sz w:val="20"/>
                <w:szCs w:val="20"/>
              </w:rPr>
            </w:pPr>
            <w:r>
              <w:rPr>
                <w:rFonts w:eastAsia="Times New Roman"/>
                <w:sz w:val="20"/>
                <w:szCs w:val="20"/>
              </w:rPr>
              <w:t> </w:t>
            </w:r>
          </w:p>
        </w:tc>
        <w:tc>
          <w:tcPr>
            <w:tcW w:w="0" w:type="auto"/>
            <w:gridSpan w:val="2"/>
            <w:vAlign w:val="bottom"/>
            <w:hideMark/>
          </w:tcPr>
          <w:p>
            <w:pPr>
              <w:rPr>
                <w:rFonts w:eastAsia="Times New Roman"/>
                <w:sz w:val="20"/>
                <w:szCs w:val="20"/>
              </w:rPr>
            </w:pPr>
            <w:r>
              <w:rPr>
                <w:rFonts w:eastAsia="Times New Roman"/>
                <w:sz w:val="20"/>
                <w:szCs w:val="20"/>
              </w:rPr>
              <w:t> </w:t>
            </w:r>
          </w:p>
        </w:tc>
        <w:tc>
          <w:tcPr>
            <w:tcW w:w="0" w:type="auto"/>
            <w:vAlign w:val="bottom"/>
            <w:hideMark/>
          </w:tcPr>
          <w:p>
            <w:pPr>
              <w:rPr>
                <w:rFonts w:eastAsia="Times New Roman"/>
                <w:sz w:val="20"/>
                <w:szCs w:val="20"/>
              </w:rPr>
            </w:pPr>
            <w:r>
              <w:rPr>
                <w:rFonts w:eastAsia="Times New Roman"/>
                <w:sz w:val="20"/>
                <w:szCs w:val="20"/>
              </w:rPr>
              <w:t> </w:t>
            </w:r>
          </w:p>
        </w:tc>
      </w:tr>
      <w:tr>
        <w:tc>
          <w:tcPr>
            <w:tcW w:w="0" w:type="auto"/>
            <w:tcBorders>
              <w:bottom w:val="single" w:sz="8" w:space="0" w:color="000000"/>
            </w:tcBorders>
            <w:vAlign w:val="bottom"/>
            <w:hideMark/>
          </w:tcPr>
          <w:p>
            <w:pPr>
              <w:rPr>
                <w:rFonts w:eastAsia="Times New Roman"/>
                <w:sz w:val="20"/>
                <w:szCs w:val="20"/>
              </w:rPr>
            </w:pPr>
            <w:r>
              <w:rPr>
                <w:rFonts w:eastAsia="Times New Roman"/>
                <w:sz w:val="20"/>
                <w:szCs w:val="20"/>
              </w:rPr>
              <w:t>in USD Thousand</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gridSpan w:val="2"/>
            <w:tcBorders>
              <w:bottom w:val="single" w:sz="8" w:space="0" w:color="000000"/>
            </w:tcBorders>
            <w:vAlign w:val="bottom"/>
            <w:hideMark/>
          </w:tcPr>
          <w:p>
            <w:pPr>
              <w:jc w:val="center"/>
              <w:rPr>
                <w:rFonts w:eastAsia="Times New Roman"/>
                <w:b/>
                <w:bCs/>
                <w:sz w:val="20"/>
                <w:szCs w:val="20"/>
              </w:rPr>
            </w:pPr>
            <w:r>
              <w:rPr>
                <w:rFonts w:eastAsia="Times New Roman"/>
                <w:b/>
                <w:bCs/>
                <w:sz w:val="20"/>
                <w:szCs w:val="20"/>
              </w:rPr>
              <w:t>HY2023</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gridSpan w:val="2"/>
            <w:tcBorders>
              <w:bottom w:val="single" w:sz="8" w:space="0" w:color="000000"/>
            </w:tcBorders>
            <w:vAlign w:val="bottom"/>
            <w:hideMark/>
          </w:tcPr>
          <w:p>
            <w:pPr>
              <w:jc w:val="center"/>
              <w:rPr>
                <w:rFonts w:eastAsia="Times New Roman"/>
                <w:b/>
                <w:bCs/>
                <w:sz w:val="20"/>
                <w:szCs w:val="20"/>
              </w:rPr>
            </w:pPr>
            <w:r>
              <w:rPr>
                <w:rFonts w:eastAsia="Times New Roman"/>
                <w:b/>
                <w:bCs/>
                <w:sz w:val="20"/>
                <w:szCs w:val="20"/>
              </w:rPr>
              <w:t>HY2022</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r>
      <w:tr>
        <w:tc>
          <w:tcPr>
            <w:tcW w:w="3700" w:type="pct"/>
            <w:shd w:val="clear" w:color="auto" w:fill="CCEEFF"/>
            <w:vAlign w:val="bottom"/>
            <w:hideMark/>
          </w:tcPr>
          <w:p>
            <w:pPr>
              <w:rPr>
                <w:rFonts w:eastAsia="Times New Roman"/>
                <w:sz w:val="20"/>
                <w:szCs w:val="20"/>
              </w:rPr>
            </w:pPr>
            <w:r>
              <w:rPr>
                <w:rFonts w:eastAsia="Times New Roman"/>
                <w:sz w:val="20"/>
                <w:szCs w:val="20"/>
              </w:rPr>
              <w:t>Operating loss</w:t>
            </w:r>
          </w:p>
        </w:tc>
        <w:tc>
          <w:tcPr>
            <w:tcW w:w="50" w:type="pct"/>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50" w:type="pct"/>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500" w:type="pct"/>
            <w:shd w:val="clear" w:color="auto" w:fill="CCEEFF"/>
            <w:vAlign w:val="bottom"/>
            <w:hideMark/>
          </w:tcPr>
          <w:p>
            <w:pPr>
              <w:jc w:val="right"/>
              <w:rPr>
                <w:rFonts w:eastAsia="Times New Roman"/>
                <w:color w:val="404040"/>
                <w:sz w:val="20"/>
                <w:szCs w:val="20"/>
              </w:rPr>
            </w:pPr>
            <w:r>
              <w:rPr>
                <w:rFonts w:eastAsia="Times New Roman"/>
                <w:color w:val="404040"/>
                <w:sz w:val="20"/>
                <w:szCs w:val="20"/>
              </w:rPr>
              <w:t>(4.4</w:t>
            </w:r>
          </w:p>
        </w:tc>
        <w:tc>
          <w:tcPr>
            <w:tcW w:w="50" w:type="pct"/>
            <w:shd w:val="clear" w:color="auto" w:fill="CCEEFF"/>
            <w:vAlign w:val="bottom"/>
            <w:hideMark/>
          </w:tcPr>
          <w:p>
            <w:pPr>
              <w:rPr>
                <w:rFonts w:eastAsia="Times New Roman"/>
                <w:color w:val="404040"/>
                <w:sz w:val="20"/>
                <w:szCs w:val="20"/>
              </w:rPr>
            </w:pPr>
            <w:r>
              <w:rPr>
                <w:rFonts w:eastAsia="Times New Roman"/>
                <w:color w:val="404040"/>
                <w:sz w:val="20"/>
                <w:szCs w:val="20"/>
              </w:rPr>
              <w:t>)</w:t>
            </w:r>
          </w:p>
        </w:tc>
        <w:tc>
          <w:tcPr>
            <w:tcW w:w="50" w:type="pct"/>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50" w:type="pct"/>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500" w:type="pct"/>
            <w:shd w:val="clear" w:color="auto" w:fill="CCEEFF"/>
            <w:vAlign w:val="bottom"/>
            <w:hideMark/>
          </w:tcPr>
          <w:p>
            <w:pPr>
              <w:jc w:val="right"/>
              <w:rPr>
                <w:rFonts w:eastAsia="Times New Roman"/>
                <w:color w:val="404040"/>
                <w:sz w:val="20"/>
                <w:szCs w:val="20"/>
              </w:rPr>
            </w:pPr>
            <w:r>
              <w:rPr>
                <w:rFonts w:eastAsia="Times New Roman"/>
                <w:color w:val="404040"/>
                <w:sz w:val="20"/>
                <w:szCs w:val="20"/>
              </w:rPr>
              <w:t>(1.1</w:t>
            </w:r>
          </w:p>
        </w:tc>
        <w:tc>
          <w:tcPr>
            <w:tcW w:w="50" w:type="pct"/>
            <w:shd w:val="clear" w:color="auto" w:fill="CCEEFF"/>
            <w:vAlign w:val="bottom"/>
            <w:hideMark/>
          </w:tcPr>
          <w:p>
            <w:pPr>
              <w:rPr>
                <w:rFonts w:eastAsia="Times New Roman"/>
                <w:color w:val="404040"/>
                <w:sz w:val="20"/>
                <w:szCs w:val="20"/>
              </w:rPr>
            </w:pPr>
            <w:r>
              <w:rPr>
                <w:rFonts w:eastAsia="Times New Roman"/>
                <w:color w:val="404040"/>
                <w:sz w:val="20"/>
                <w:szCs w:val="20"/>
              </w:rPr>
              <w:t>)</w:t>
            </w:r>
          </w:p>
        </w:tc>
      </w:tr>
      <w:tr>
        <w:tc>
          <w:tcPr>
            <w:tcW w:w="0" w:type="auto"/>
            <w:shd w:val="clear" w:color="auto" w:fill="FFFFFF"/>
            <w:vAlign w:val="bottom"/>
            <w:hideMark/>
          </w:tcPr>
          <w:p>
            <w:pPr>
              <w:rPr>
                <w:rFonts w:eastAsia="Times New Roman"/>
                <w:sz w:val="20"/>
                <w:szCs w:val="20"/>
              </w:rPr>
            </w:pPr>
            <w:r>
              <w:rPr>
                <w:rFonts w:eastAsia="Times New Roman"/>
                <w:sz w:val="20"/>
                <w:szCs w:val="20"/>
              </w:rPr>
              <w:t>Plus:</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r>
        <w:tc>
          <w:tcPr>
            <w:tcW w:w="0" w:type="auto"/>
            <w:shd w:val="clear" w:color="auto" w:fill="CCEEFF"/>
            <w:vAlign w:val="bottom"/>
            <w:hideMark/>
          </w:tcPr>
          <w:p>
            <w:pPr>
              <w:rPr>
                <w:rFonts w:eastAsia="Times New Roman"/>
                <w:sz w:val="20"/>
                <w:szCs w:val="20"/>
              </w:rPr>
            </w:pPr>
            <w:r>
              <w:rPr>
                <w:rFonts w:eastAsia="Times New Roman"/>
                <w:sz w:val="20"/>
                <w:szCs w:val="20"/>
              </w:rPr>
              <w:t>Depreciation and amortization expenses</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3.5</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3.2</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r>
      <w:tr>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r>
        <w:tc>
          <w:tcPr>
            <w:tcW w:w="0" w:type="auto"/>
            <w:shd w:val="clear" w:color="auto" w:fill="CCEEFF"/>
            <w:vAlign w:val="bottom"/>
            <w:hideMark/>
          </w:tcPr>
          <w:p>
            <w:pPr>
              <w:rPr>
                <w:rFonts w:eastAsia="Times New Roman"/>
                <w:b/>
                <w:bCs/>
                <w:sz w:val="20"/>
                <w:szCs w:val="20"/>
              </w:rPr>
            </w:pPr>
            <w:r>
              <w:rPr>
                <w:rFonts w:eastAsia="Times New Roman"/>
                <w:b/>
                <w:bCs/>
                <w:sz w:val="20"/>
                <w:szCs w:val="20"/>
              </w:rPr>
              <w:t>EBITDA</w:t>
            </w:r>
          </w:p>
        </w:tc>
        <w:tc>
          <w:tcPr>
            <w:tcW w:w="0" w:type="auto"/>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0" w:type="auto"/>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0" w:type="auto"/>
            <w:shd w:val="clear" w:color="auto" w:fill="CCEEFF"/>
            <w:vAlign w:val="bottom"/>
            <w:hideMark/>
          </w:tcPr>
          <w:p>
            <w:pPr>
              <w:jc w:val="right"/>
              <w:rPr>
                <w:rFonts w:eastAsia="Times New Roman"/>
                <w:color w:val="404040"/>
                <w:sz w:val="20"/>
                <w:szCs w:val="20"/>
              </w:rPr>
            </w:pPr>
            <w:r>
              <w:rPr>
                <w:rFonts w:eastAsia="Times New Roman"/>
                <w:color w:val="404040"/>
                <w:sz w:val="20"/>
                <w:szCs w:val="20"/>
              </w:rPr>
              <w:t>(0.9</w:t>
            </w:r>
          </w:p>
        </w:tc>
        <w:tc>
          <w:tcPr>
            <w:tcW w:w="0" w:type="auto"/>
            <w:shd w:val="clear" w:color="auto" w:fill="CCEEFF"/>
            <w:vAlign w:val="bottom"/>
            <w:hideMark/>
          </w:tcPr>
          <w:p>
            <w:pPr>
              <w:rPr>
                <w:rFonts w:eastAsia="Times New Roman"/>
                <w:color w:val="404040"/>
                <w:sz w:val="20"/>
                <w:szCs w:val="20"/>
              </w:rPr>
            </w:pPr>
            <w:r>
              <w:rPr>
                <w:rFonts w:eastAsia="Times New Roman"/>
                <w:color w:val="404040"/>
                <w:sz w:val="20"/>
                <w:szCs w:val="20"/>
              </w:rPr>
              <w:t>)</w:t>
            </w:r>
          </w:p>
        </w:tc>
        <w:tc>
          <w:tcPr>
            <w:tcW w:w="0" w:type="auto"/>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0" w:type="auto"/>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0" w:type="auto"/>
            <w:shd w:val="clear" w:color="auto" w:fill="CCEEFF"/>
            <w:vAlign w:val="bottom"/>
            <w:hideMark/>
          </w:tcPr>
          <w:p>
            <w:pPr>
              <w:jc w:val="right"/>
              <w:rPr>
                <w:rFonts w:eastAsia="Times New Roman"/>
                <w:color w:val="404040"/>
                <w:sz w:val="20"/>
                <w:szCs w:val="20"/>
              </w:rPr>
            </w:pPr>
            <w:r>
              <w:rPr>
                <w:rFonts w:eastAsia="Times New Roman"/>
                <w:color w:val="404040"/>
                <w:sz w:val="20"/>
                <w:szCs w:val="20"/>
              </w:rPr>
              <w:t>2.1</w:t>
            </w:r>
          </w:p>
        </w:tc>
        <w:tc>
          <w:tcPr>
            <w:tcW w:w="0" w:type="auto"/>
            <w:shd w:val="clear" w:color="auto" w:fill="CCEEFF"/>
            <w:vAlign w:val="bottom"/>
            <w:hideMark/>
          </w:tcPr>
          <w:p>
            <w:pPr>
              <w:rPr>
                <w:rFonts w:eastAsia="Times New Roman"/>
                <w:color w:val="404040"/>
                <w:sz w:val="20"/>
                <w:szCs w:val="20"/>
              </w:rPr>
            </w:pPr>
            <w:r>
              <w:rPr>
                <w:rFonts w:eastAsia="Times New Roman"/>
                <w:color w:val="404040"/>
                <w:sz w:val="20"/>
                <w:szCs w:val="20"/>
              </w:rPr>
              <w:t> </w:t>
            </w:r>
          </w:p>
        </w:tc>
      </w:tr>
    </w:tbl>
    <w:p>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7458"/>
        <w:gridCol w:w="101"/>
        <w:gridCol w:w="101"/>
        <w:gridCol w:w="1008"/>
        <w:gridCol w:w="101"/>
        <w:gridCol w:w="101"/>
        <w:gridCol w:w="101"/>
        <w:gridCol w:w="1008"/>
        <w:gridCol w:w="101"/>
      </w:tblGrid>
      <w:tr>
        <w:tc>
          <w:tcPr>
            <w:tcW w:w="0" w:type="auto"/>
            <w:tcMar>
              <w:top w:w="0" w:type="dxa"/>
              <w:left w:w="0" w:type="dxa"/>
              <w:bottom w:w="20" w:type="dxa"/>
              <w:right w:w="0" w:type="dxa"/>
            </w:tcMar>
            <w:vAlign w:val="bottom"/>
            <w:hideMark/>
          </w:tcPr>
          <w:p>
            <w:pPr>
              <w:jc w:val="cente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pPr>
              <w:jc w:val="center"/>
              <w:rPr>
                <w:rFonts w:eastAsia="Times New Roman"/>
                <w:b/>
                <w:bCs/>
                <w:sz w:val="20"/>
                <w:szCs w:val="20"/>
              </w:rPr>
            </w:pPr>
            <w:r>
              <w:rPr>
                <w:rFonts w:eastAsia="Times New Roman"/>
                <w:b/>
                <w:bCs/>
                <w:sz w:val="20"/>
                <w:szCs w:val="20"/>
              </w:rPr>
              <w:t> </w:t>
            </w:r>
          </w:p>
        </w:tc>
        <w:tc>
          <w:tcPr>
            <w:tcW w:w="0" w:type="auto"/>
            <w:gridSpan w:val="2"/>
            <w:tcBorders>
              <w:bottom w:val="single" w:sz="8" w:space="0" w:color="000000"/>
            </w:tcBorders>
            <w:vAlign w:val="bottom"/>
            <w:hideMark/>
          </w:tcPr>
          <w:p>
            <w:pPr>
              <w:jc w:val="center"/>
              <w:rPr>
                <w:rFonts w:eastAsia="Times New Roman"/>
                <w:b/>
                <w:bCs/>
                <w:sz w:val="20"/>
                <w:szCs w:val="20"/>
              </w:rPr>
            </w:pPr>
            <w:r>
              <w:rPr>
                <w:rFonts w:eastAsia="Times New Roman"/>
                <w:b/>
                <w:bCs/>
                <w:sz w:val="20"/>
                <w:szCs w:val="20"/>
              </w:rPr>
              <w:t>HY2023</w:t>
            </w:r>
          </w:p>
        </w:tc>
        <w:tc>
          <w:tcPr>
            <w:tcW w:w="0" w:type="auto"/>
            <w:tcMar>
              <w:top w:w="0" w:type="dxa"/>
              <w:left w:w="0" w:type="dxa"/>
              <w:bottom w:w="20" w:type="dxa"/>
              <w:right w:w="0" w:type="dxa"/>
            </w:tcMar>
            <w:vAlign w:val="bottom"/>
            <w:hideMark/>
          </w:tcPr>
          <w:p>
            <w:pPr>
              <w:jc w:val="cente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pPr>
              <w:jc w:val="center"/>
              <w:rPr>
                <w:rFonts w:eastAsia="Times New Roman"/>
                <w:b/>
                <w:bCs/>
                <w:sz w:val="20"/>
                <w:szCs w:val="20"/>
              </w:rPr>
            </w:pPr>
            <w:r>
              <w:rPr>
                <w:rFonts w:eastAsia="Times New Roman"/>
                <w:b/>
                <w:bCs/>
                <w:sz w:val="20"/>
                <w:szCs w:val="20"/>
              </w:rPr>
              <w:t> </w:t>
            </w:r>
          </w:p>
        </w:tc>
        <w:tc>
          <w:tcPr>
            <w:tcW w:w="0" w:type="auto"/>
            <w:gridSpan w:val="2"/>
            <w:tcBorders>
              <w:bottom w:val="single" w:sz="8" w:space="0" w:color="000000"/>
            </w:tcBorders>
            <w:vAlign w:val="bottom"/>
            <w:hideMark/>
          </w:tcPr>
          <w:p>
            <w:pPr>
              <w:jc w:val="center"/>
              <w:rPr>
                <w:rFonts w:eastAsia="Times New Roman"/>
                <w:b/>
                <w:bCs/>
                <w:sz w:val="20"/>
                <w:szCs w:val="20"/>
              </w:rPr>
            </w:pPr>
            <w:r>
              <w:rPr>
                <w:rFonts w:eastAsia="Times New Roman"/>
                <w:b/>
                <w:bCs/>
                <w:sz w:val="20"/>
                <w:szCs w:val="20"/>
              </w:rPr>
              <w:t>HY2022</w:t>
            </w:r>
          </w:p>
        </w:tc>
        <w:tc>
          <w:tcPr>
            <w:tcW w:w="0" w:type="auto"/>
            <w:tcMar>
              <w:top w:w="0" w:type="dxa"/>
              <w:left w:w="0" w:type="dxa"/>
              <w:bottom w:w="20" w:type="dxa"/>
              <w:right w:w="0" w:type="dxa"/>
            </w:tcMar>
            <w:vAlign w:val="bottom"/>
            <w:hideMark/>
          </w:tcPr>
          <w:p>
            <w:pPr>
              <w:jc w:val="center"/>
              <w:rPr>
                <w:rFonts w:eastAsia="Times New Roman"/>
                <w:b/>
                <w:bCs/>
                <w:sz w:val="20"/>
                <w:szCs w:val="20"/>
              </w:rPr>
            </w:pPr>
            <w:r>
              <w:rPr>
                <w:rFonts w:eastAsia="Times New Roman"/>
                <w:b/>
                <w:bCs/>
                <w:sz w:val="20"/>
                <w:szCs w:val="20"/>
              </w:rPr>
              <w:t> </w:t>
            </w:r>
          </w:p>
        </w:tc>
      </w:tr>
      <w:tr>
        <w:tc>
          <w:tcPr>
            <w:tcW w:w="3700" w:type="pct"/>
            <w:shd w:val="clear" w:color="auto" w:fill="CCEEFF"/>
            <w:vAlign w:val="bottom"/>
            <w:hideMark/>
          </w:tcPr>
          <w:p>
            <w:pPr>
              <w:rPr>
                <w:rFonts w:eastAsia="Times New Roman"/>
                <w:b/>
                <w:bCs/>
                <w:sz w:val="20"/>
                <w:szCs w:val="20"/>
              </w:rPr>
            </w:pPr>
            <w:r>
              <w:rPr>
                <w:rFonts w:eastAsia="Times New Roman"/>
                <w:b/>
                <w:bCs/>
                <w:sz w:val="20"/>
                <w:szCs w:val="20"/>
              </w:rPr>
              <w:t>Operating loss – EBIT</w:t>
            </w:r>
          </w:p>
        </w:tc>
        <w:tc>
          <w:tcPr>
            <w:tcW w:w="50" w:type="pct"/>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50" w:type="pct"/>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500" w:type="pct"/>
            <w:shd w:val="clear" w:color="auto" w:fill="CCEEFF"/>
            <w:vAlign w:val="bottom"/>
            <w:hideMark/>
          </w:tcPr>
          <w:p>
            <w:pPr>
              <w:jc w:val="right"/>
              <w:rPr>
                <w:rFonts w:eastAsia="Times New Roman"/>
                <w:color w:val="404040"/>
                <w:sz w:val="20"/>
                <w:szCs w:val="20"/>
              </w:rPr>
            </w:pPr>
            <w:r>
              <w:rPr>
                <w:rFonts w:eastAsia="Times New Roman"/>
                <w:color w:val="404040"/>
                <w:sz w:val="20"/>
                <w:szCs w:val="20"/>
              </w:rPr>
              <w:t>(4.4</w:t>
            </w:r>
          </w:p>
        </w:tc>
        <w:tc>
          <w:tcPr>
            <w:tcW w:w="50" w:type="pct"/>
            <w:shd w:val="clear" w:color="auto" w:fill="CCEEFF"/>
            <w:vAlign w:val="bottom"/>
            <w:hideMark/>
          </w:tcPr>
          <w:p>
            <w:pPr>
              <w:rPr>
                <w:rFonts w:eastAsia="Times New Roman"/>
                <w:color w:val="404040"/>
                <w:sz w:val="20"/>
                <w:szCs w:val="20"/>
              </w:rPr>
            </w:pPr>
            <w:r>
              <w:rPr>
                <w:rFonts w:eastAsia="Times New Roman"/>
                <w:color w:val="404040"/>
                <w:sz w:val="20"/>
                <w:szCs w:val="20"/>
              </w:rPr>
              <w:t>)</w:t>
            </w:r>
          </w:p>
        </w:tc>
        <w:tc>
          <w:tcPr>
            <w:tcW w:w="50" w:type="pct"/>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50" w:type="pct"/>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500" w:type="pct"/>
            <w:shd w:val="clear" w:color="auto" w:fill="CCEEFF"/>
            <w:vAlign w:val="bottom"/>
            <w:hideMark/>
          </w:tcPr>
          <w:p>
            <w:pPr>
              <w:jc w:val="right"/>
              <w:rPr>
                <w:rFonts w:eastAsia="Times New Roman"/>
                <w:color w:val="404040"/>
                <w:sz w:val="20"/>
                <w:szCs w:val="20"/>
              </w:rPr>
            </w:pPr>
            <w:r>
              <w:rPr>
                <w:rFonts w:eastAsia="Times New Roman"/>
                <w:color w:val="404040"/>
                <w:sz w:val="20"/>
                <w:szCs w:val="20"/>
              </w:rPr>
              <w:t>(1.1</w:t>
            </w:r>
          </w:p>
        </w:tc>
        <w:tc>
          <w:tcPr>
            <w:tcW w:w="50" w:type="pct"/>
            <w:shd w:val="clear" w:color="auto" w:fill="CCEEFF"/>
            <w:vAlign w:val="bottom"/>
            <w:hideMark/>
          </w:tcPr>
          <w:p>
            <w:pPr>
              <w:rPr>
                <w:rFonts w:eastAsia="Times New Roman"/>
                <w:color w:val="404040"/>
                <w:sz w:val="20"/>
                <w:szCs w:val="20"/>
              </w:rPr>
            </w:pPr>
            <w:r>
              <w:rPr>
                <w:rFonts w:eastAsia="Times New Roman"/>
                <w:color w:val="404040"/>
                <w:sz w:val="20"/>
                <w:szCs w:val="20"/>
              </w:rPr>
              <w:t>)</w:t>
            </w:r>
          </w:p>
        </w:tc>
      </w:tr>
      <w:tr>
        <w:tc>
          <w:tcPr>
            <w:tcW w:w="0" w:type="auto"/>
            <w:shd w:val="clear" w:color="auto" w:fill="FFFFFF"/>
            <w:vAlign w:val="bottom"/>
            <w:hideMark/>
          </w:tcPr>
          <w:p>
            <w:pPr>
              <w:rPr>
                <w:rFonts w:eastAsia="Times New Roman"/>
                <w:sz w:val="20"/>
                <w:szCs w:val="20"/>
              </w:rPr>
            </w:pPr>
            <w:r>
              <w:rPr>
                <w:rFonts w:eastAsia="Times New Roman"/>
                <w:sz w:val="20"/>
                <w:szCs w:val="20"/>
              </w:rPr>
              <w:t>Plus:</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r>
        <w:tc>
          <w:tcPr>
            <w:tcW w:w="0" w:type="auto"/>
            <w:shd w:val="clear" w:color="auto" w:fill="CCEEFF"/>
            <w:vAlign w:val="bottom"/>
            <w:hideMark/>
          </w:tcPr>
          <w:p>
            <w:pPr>
              <w:rPr>
                <w:rFonts w:eastAsia="Times New Roman"/>
                <w:sz w:val="20"/>
                <w:szCs w:val="20"/>
              </w:rPr>
            </w:pPr>
            <w:r>
              <w:rPr>
                <w:rFonts w:eastAsia="Times New Roman"/>
                <w:sz w:val="20"/>
                <w:szCs w:val="20"/>
              </w:rPr>
              <w:t>Cost of share-based payments</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0.8</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0.9</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r>
      <w:tr>
        <w:tc>
          <w:tcPr>
            <w:tcW w:w="0" w:type="auto"/>
            <w:shd w:val="clear" w:color="auto" w:fill="FFFFFF"/>
            <w:vAlign w:val="bottom"/>
            <w:hideMark/>
          </w:tcPr>
          <w:p>
            <w:pPr>
              <w:rPr>
                <w:rFonts w:eastAsia="Times New Roman"/>
                <w:sz w:val="20"/>
                <w:szCs w:val="20"/>
              </w:rPr>
            </w:pPr>
            <w:r>
              <w:rPr>
                <w:rFonts w:eastAsia="Times New Roman"/>
                <w:sz w:val="20"/>
                <w:szCs w:val="20"/>
              </w:rPr>
              <w:t>Non-recurring expenses</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0.5</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0.1</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r>
        <w:tc>
          <w:tcPr>
            <w:tcW w:w="0" w:type="auto"/>
            <w:shd w:val="clear" w:color="auto" w:fill="CCEEFF"/>
            <w:vAlign w:val="bottom"/>
            <w:hideMark/>
          </w:tcPr>
          <w:p>
            <w:pPr>
              <w:rPr>
                <w:rFonts w:eastAsia="Times New Roman"/>
                <w:b/>
                <w:bCs/>
                <w:sz w:val="20"/>
                <w:szCs w:val="20"/>
              </w:rPr>
            </w:pPr>
            <w:r>
              <w:rPr>
                <w:rFonts w:eastAsia="Times New Roman"/>
                <w:b/>
                <w:bCs/>
                <w:sz w:val="20"/>
                <w:szCs w:val="20"/>
              </w:rPr>
              <w:t>Adjusted EBIT</w:t>
            </w:r>
          </w:p>
        </w:tc>
        <w:tc>
          <w:tcPr>
            <w:tcW w:w="0" w:type="auto"/>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0" w:type="auto"/>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0" w:type="auto"/>
            <w:shd w:val="clear" w:color="auto" w:fill="CCEEFF"/>
            <w:vAlign w:val="bottom"/>
            <w:hideMark/>
          </w:tcPr>
          <w:p>
            <w:pPr>
              <w:jc w:val="right"/>
              <w:rPr>
                <w:rFonts w:eastAsia="Times New Roman"/>
                <w:color w:val="404040"/>
                <w:sz w:val="20"/>
                <w:szCs w:val="20"/>
              </w:rPr>
            </w:pPr>
            <w:r>
              <w:rPr>
                <w:rFonts w:eastAsia="Times New Roman"/>
                <w:color w:val="404040"/>
                <w:sz w:val="20"/>
                <w:szCs w:val="20"/>
              </w:rPr>
              <w:t>(3.1</w:t>
            </w:r>
          </w:p>
        </w:tc>
        <w:tc>
          <w:tcPr>
            <w:tcW w:w="0" w:type="auto"/>
            <w:shd w:val="clear" w:color="auto" w:fill="CCEEFF"/>
            <w:vAlign w:val="bottom"/>
            <w:hideMark/>
          </w:tcPr>
          <w:p>
            <w:pPr>
              <w:rPr>
                <w:rFonts w:eastAsia="Times New Roman"/>
                <w:color w:val="404040"/>
                <w:sz w:val="20"/>
                <w:szCs w:val="20"/>
              </w:rPr>
            </w:pPr>
            <w:r>
              <w:rPr>
                <w:rFonts w:eastAsia="Times New Roman"/>
                <w:color w:val="404040"/>
                <w:sz w:val="20"/>
                <w:szCs w:val="20"/>
              </w:rPr>
              <w:t>)</w:t>
            </w:r>
          </w:p>
        </w:tc>
        <w:tc>
          <w:tcPr>
            <w:tcW w:w="0" w:type="auto"/>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0" w:type="auto"/>
            <w:shd w:val="clear" w:color="auto" w:fill="CCEEFF"/>
            <w:vAlign w:val="bottom"/>
            <w:hideMark/>
          </w:tcPr>
          <w:p>
            <w:pPr>
              <w:rPr>
                <w:rFonts w:eastAsia="Times New Roman"/>
                <w:color w:val="404040"/>
                <w:sz w:val="20"/>
                <w:szCs w:val="20"/>
              </w:rPr>
            </w:pPr>
            <w:r>
              <w:rPr>
                <w:rFonts w:eastAsia="Times New Roman"/>
                <w:color w:val="404040"/>
                <w:sz w:val="20"/>
                <w:szCs w:val="20"/>
              </w:rPr>
              <w:t> </w:t>
            </w:r>
          </w:p>
        </w:tc>
        <w:tc>
          <w:tcPr>
            <w:tcW w:w="0" w:type="auto"/>
            <w:shd w:val="clear" w:color="auto" w:fill="CCEEFF"/>
            <w:vAlign w:val="bottom"/>
            <w:hideMark/>
          </w:tcPr>
          <w:p>
            <w:pPr>
              <w:jc w:val="right"/>
              <w:rPr>
                <w:rFonts w:eastAsia="Times New Roman"/>
                <w:color w:val="404040"/>
                <w:sz w:val="20"/>
                <w:szCs w:val="20"/>
              </w:rPr>
            </w:pPr>
            <w:r>
              <w:rPr>
                <w:rFonts w:eastAsia="Times New Roman"/>
                <w:color w:val="404040"/>
                <w:sz w:val="20"/>
                <w:szCs w:val="20"/>
              </w:rPr>
              <w:t>(0.1</w:t>
            </w:r>
          </w:p>
        </w:tc>
        <w:tc>
          <w:tcPr>
            <w:tcW w:w="0" w:type="auto"/>
            <w:shd w:val="clear" w:color="auto" w:fill="CCEEFF"/>
            <w:vAlign w:val="bottom"/>
            <w:hideMark/>
          </w:tcPr>
          <w:p>
            <w:pPr>
              <w:rPr>
                <w:rFonts w:eastAsia="Times New Roman"/>
                <w:color w:val="404040"/>
                <w:sz w:val="20"/>
                <w:szCs w:val="20"/>
              </w:rPr>
            </w:pPr>
            <w:r>
              <w:rPr>
                <w:rFonts w:eastAsia="Times New Roman"/>
                <w:color w:val="404040"/>
                <w:sz w:val="20"/>
                <w:szCs w:val="20"/>
              </w:rPr>
              <w:t>)</w:t>
            </w:r>
          </w:p>
        </w:tc>
      </w:tr>
    </w:tbl>
    <w:p>
      <w:pPr>
        <w:pStyle w:val="NormalWeb"/>
        <w:spacing w:before="0" w:beforeAutospacing="0" w:after="0" w:afterAutospacing="0"/>
        <w:jc w:val="both"/>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7458"/>
        <w:gridCol w:w="101"/>
        <w:gridCol w:w="101"/>
        <w:gridCol w:w="1008"/>
        <w:gridCol w:w="101"/>
        <w:gridCol w:w="101"/>
        <w:gridCol w:w="101"/>
        <w:gridCol w:w="1008"/>
        <w:gridCol w:w="101"/>
      </w:tblGrid>
      <w:tr>
        <w:tc>
          <w:tcPr>
            <w:tcW w:w="0" w:type="auto"/>
            <w:vAlign w:val="bottom"/>
            <w:hideMark/>
          </w:tcPr>
          <w:p>
            <w:pPr>
              <w:jc w:val="cente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gridSpan w:val="2"/>
            <w:tcBorders>
              <w:bottom w:val="single" w:sz="8" w:space="0" w:color="000000"/>
            </w:tcBorders>
            <w:vAlign w:val="bottom"/>
            <w:hideMark/>
          </w:tcPr>
          <w:p>
            <w:pPr>
              <w:jc w:val="center"/>
              <w:rPr>
                <w:rFonts w:eastAsia="Times New Roman"/>
                <w:b/>
                <w:bCs/>
                <w:sz w:val="20"/>
                <w:szCs w:val="20"/>
              </w:rPr>
            </w:pPr>
            <w:r>
              <w:rPr>
                <w:rFonts w:eastAsia="Times New Roman"/>
                <w:b/>
                <w:bCs/>
                <w:sz w:val="20"/>
                <w:szCs w:val="20"/>
              </w:rPr>
              <w:t>HY2023</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gridSpan w:val="2"/>
            <w:tcBorders>
              <w:bottom w:val="single" w:sz="8" w:space="0" w:color="000000"/>
            </w:tcBorders>
            <w:vAlign w:val="bottom"/>
            <w:hideMark/>
          </w:tcPr>
          <w:p>
            <w:pPr>
              <w:jc w:val="center"/>
              <w:rPr>
                <w:rFonts w:eastAsia="Times New Roman"/>
                <w:b/>
                <w:bCs/>
                <w:sz w:val="20"/>
                <w:szCs w:val="20"/>
              </w:rPr>
            </w:pPr>
            <w:r>
              <w:rPr>
                <w:rFonts w:eastAsia="Times New Roman"/>
                <w:b/>
                <w:bCs/>
                <w:sz w:val="20"/>
                <w:szCs w:val="20"/>
              </w:rPr>
              <w:t>HY2022</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r>
      <w:tr>
        <w:tc>
          <w:tcPr>
            <w:tcW w:w="3700" w:type="pct"/>
            <w:shd w:val="clear" w:color="auto" w:fill="CCEEFF"/>
            <w:vAlign w:val="bottom"/>
            <w:hideMark/>
          </w:tcPr>
          <w:p>
            <w:pPr>
              <w:rPr>
                <w:rFonts w:eastAsia="Times New Roman"/>
                <w:b/>
                <w:bCs/>
                <w:sz w:val="20"/>
                <w:szCs w:val="20"/>
              </w:rPr>
            </w:pPr>
            <w:r>
              <w:rPr>
                <w:rFonts w:eastAsia="Times New Roman"/>
                <w:b/>
                <w:bCs/>
                <w:sz w:val="20"/>
                <w:szCs w:val="20"/>
              </w:rPr>
              <w:t>EBITDA</w:t>
            </w:r>
          </w:p>
        </w:tc>
        <w:tc>
          <w:tcPr>
            <w:tcW w:w="50" w:type="pct"/>
            <w:shd w:val="clear" w:color="auto" w:fill="CCEEFF"/>
            <w:vAlign w:val="bottom"/>
            <w:hideMark/>
          </w:tcPr>
          <w:p>
            <w:pPr>
              <w:rPr>
                <w:rFonts w:eastAsia="Times New Roman"/>
                <w:b/>
                <w:bCs/>
                <w:sz w:val="20"/>
                <w:szCs w:val="20"/>
              </w:rPr>
            </w:pPr>
            <w:r>
              <w:rPr>
                <w:rFonts w:eastAsia="Times New Roman"/>
                <w:b/>
                <w:bCs/>
                <w:sz w:val="20"/>
                <w:szCs w:val="20"/>
              </w:rPr>
              <w:t> </w:t>
            </w:r>
          </w:p>
        </w:tc>
        <w:tc>
          <w:tcPr>
            <w:tcW w:w="50" w:type="pct"/>
            <w:shd w:val="clear" w:color="auto" w:fill="CCEEFF"/>
            <w:vAlign w:val="bottom"/>
            <w:hideMark/>
          </w:tcPr>
          <w:p>
            <w:pPr>
              <w:rPr>
                <w:rFonts w:eastAsia="Times New Roman"/>
                <w:b/>
                <w:bCs/>
                <w:sz w:val="20"/>
                <w:szCs w:val="20"/>
              </w:rPr>
            </w:pPr>
            <w:r>
              <w:rPr>
                <w:rFonts w:eastAsia="Times New Roman"/>
                <w:b/>
                <w:bCs/>
                <w:sz w:val="20"/>
                <w:szCs w:val="20"/>
              </w:rPr>
              <w:t> </w:t>
            </w:r>
          </w:p>
        </w:tc>
        <w:tc>
          <w:tcPr>
            <w:tcW w:w="500" w:type="pct"/>
            <w:shd w:val="clear" w:color="auto" w:fill="CCEEFF"/>
            <w:vAlign w:val="bottom"/>
            <w:hideMark/>
          </w:tcPr>
          <w:p>
            <w:pPr>
              <w:jc w:val="right"/>
              <w:rPr>
                <w:rFonts w:eastAsia="Times New Roman"/>
                <w:b/>
                <w:bCs/>
                <w:sz w:val="20"/>
                <w:szCs w:val="20"/>
              </w:rPr>
            </w:pPr>
            <w:r>
              <w:rPr>
                <w:rFonts w:eastAsia="Times New Roman"/>
                <w:b/>
                <w:bCs/>
                <w:sz w:val="20"/>
                <w:szCs w:val="20"/>
              </w:rPr>
              <w:t>(0.9</w:t>
            </w:r>
          </w:p>
        </w:tc>
        <w:tc>
          <w:tcPr>
            <w:tcW w:w="50" w:type="pct"/>
            <w:shd w:val="clear" w:color="auto" w:fill="CCEEFF"/>
            <w:vAlign w:val="bottom"/>
            <w:hideMark/>
          </w:tcPr>
          <w:p>
            <w:pPr>
              <w:rPr>
                <w:rFonts w:eastAsia="Times New Roman"/>
                <w:b/>
                <w:bCs/>
                <w:sz w:val="20"/>
                <w:szCs w:val="20"/>
              </w:rPr>
            </w:pPr>
            <w:r>
              <w:rPr>
                <w:rFonts w:eastAsia="Times New Roman"/>
                <w:b/>
                <w:bCs/>
                <w:sz w:val="20"/>
                <w:szCs w:val="20"/>
              </w:rPr>
              <w:t>)</w:t>
            </w:r>
          </w:p>
        </w:tc>
        <w:tc>
          <w:tcPr>
            <w:tcW w:w="50" w:type="pct"/>
            <w:shd w:val="clear" w:color="auto" w:fill="CCEEFF"/>
            <w:vAlign w:val="bottom"/>
            <w:hideMark/>
          </w:tcPr>
          <w:p>
            <w:pPr>
              <w:rPr>
                <w:rFonts w:eastAsia="Times New Roman"/>
                <w:b/>
                <w:bCs/>
                <w:sz w:val="20"/>
                <w:szCs w:val="20"/>
              </w:rPr>
            </w:pPr>
            <w:r>
              <w:rPr>
                <w:rFonts w:eastAsia="Times New Roman"/>
                <w:b/>
                <w:bCs/>
                <w:sz w:val="20"/>
                <w:szCs w:val="20"/>
              </w:rPr>
              <w:t> </w:t>
            </w:r>
          </w:p>
        </w:tc>
        <w:tc>
          <w:tcPr>
            <w:tcW w:w="50" w:type="pct"/>
            <w:shd w:val="clear" w:color="auto" w:fill="CCEEFF"/>
            <w:vAlign w:val="bottom"/>
            <w:hideMark/>
          </w:tcPr>
          <w:p>
            <w:pPr>
              <w:rPr>
                <w:rFonts w:eastAsia="Times New Roman"/>
                <w:b/>
                <w:bCs/>
                <w:sz w:val="20"/>
                <w:szCs w:val="20"/>
              </w:rPr>
            </w:pPr>
            <w:r>
              <w:rPr>
                <w:rFonts w:eastAsia="Times New Roman"/>
                <w:b/>
                <w:bCs/>
                <w:sz w:val="20"/>
                <w:szCs w:val="20"/>
              </w:rPr>
              <w:t> </w:t>
            </w:r>
          </w:p>
        </w:tc>
        <w:tc>
          <w:tcPr>
            <w:tcW w:w="500" w:type="pct"/>
            <w:shd w:val="clear" w:color="auto" w:fill="CCEEFF"/>
            <w:vAlign w:val="bottom"/>
            <w:hideMark/>
          </w:tcPr>
          <w:p>
            <w:pPr>
              <w:jc w:val="right"/>
              <w:rPr>
                <w:rFonts w:eastAsia="Times New Roman"/>
                <w:b/>
                <w:bCs/>
                <w:sz w:val="20"/>
                <w:szCs w:val="20"/>
              </w:rPr>
            </w:pPr>
            <w:r>
              <w:rPr>
                <w:rFonts w:eastAsia="Times New Roman"/>
                <w:b/>
                <w:bCs/>
                <w:sz w:val="20"/>
                <w:szCs w:val="20"/>
              </w:rPr>
              <w:t>2.1</w:t>
            </w:r>
          </w:p>
        </w:tc>
        <w:tc>
          <w:tcPr>
            <w:tcW w:w="50" w:type="pct"/>
            <w:shd w:val="clear" w:color="auto" w:fill="CCEEFF"/>
            <w:vAlign w:val="bottom"/>
            <w:hideMark/>
          </w:tcPr>
          <w:p>
            <w:pPr>
              <w:rPr>
                <w:rFonts w:eastAsia="Times New Roman"/>
                <w:b/>
                <w:bCs/>
                <w:sz w:val="20"/>
                <w:szCs w:val="20"/>
              </w:rPr>
            </w:pPr>
            <w:r>
              <w:rPr>
                <w:rFonts w:eastAsia="Times New Roman"/>
                <w:b/>
                <w:bCs/>
                <w:sz w:val="20"/>
                <w:szCs w:val="20"/>
              </w:rPr>
              <w:t> </w:t>
            </w:r>
          </w:p>
        </w:tc>
      </w:tr>
      <w:tr>
        <w:tc>
          <w:tcPr>
            <w:tcW w:w="0" w:type="auto"/>
            <w:shd w:val="clear" w:color="auto" w:fill="FFFFFF"/>
            <w:vAlign w:val="bottom"/>
            <w:hideMark/>
          </w:tcPr>
          <w:p>
            <w:pPr>
              <w:rPr>
                <w:rFonts w:eastAsia="Times New Roman"/>
                <w:sz w:val="20"/>
                <w:szCs w:val="20"/>
              </w:rPr>
            </w:pPr>
            <w:r>
              <w:rPr>
                <w:rFonts w:eastAsia="Times New Roman"/>
                <w:sz w:val="20"/>
                <w:szCs w:val="20"/>
              </w:rPr>
              <w:t>Plus:</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r>
        <w:tc>
          <w:tcPr>
            <w:tcW w:w="0" w:type="auto"/>
            <w:shd w:val="clear" w:color="auto" w:fill="CCEEFF"/>
            <w:vAlign w:val="bottom"/>
            <w:hideMark/>
          </w:tcPr>
          <w:p>
            <w:pPr>
              <w:rPr>
                <w:rFonts w:eastAsia="Times New Roman"/>
                <w:sz w:val="20"/>
                <w:szCs w:val="20"/>
              </w:rPr>
            </w:pPr>
            <w:r>
              <w:rPr>
                <w:rFonts w:eastAsia="Times New Roman"/>
                <w:sz w:val="20"/>
                <w:szCs w:val="20"/>
              </w:rPr>
              <w:t>Cost of share based payments</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0.8</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0.9</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r>
      <w:tr>
        <w:tc>
          <w:tcPr>
            <w:tcW w:w="0" w:type="auto"/>
            <w:shd w:val="clear" w:color="auto" w:fill="FFFFFF"/>
            <w:vAlign w:val="bottom"/>
            <w:hideMark/>
          </w:tcPr>
          <w:p>
            <w:pPr>
              <w:rPr>
                <w:rFonts w:eastAsia="Times New Roman"/>
                <w:sz w:val="20"/>
                <w:szCs w:val="20"/>
              </w:rPr>
            </w:pPr>
            <w:r>
              <w:rPr>
                <w:rFonts w:eastAsia="Times New Roman"/>
                <w:sz w:val="20"/>
                <w:szCs w:val="20"/>
              </w:rPr>
              <w:t>Non-recurring expenses</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0.5</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0.1</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r>
        <w:tc>
          <w:tcPr>
            <w:tcW w:w="0" w:type="auto"/>
            <w:shd w:val="clear" w:color="auto" w:fill="CCEEFF"/>
            <w:vAlign w:val="bottom"/>
            <w:hideMark/>
          </w:tcPr>
          <w:p>
            <w:pPr>
              <w:rPr>
                <w:rFonts w:eastAsia="Times New Roman"/>
                <w:b/>
                <w:bCs/>
                <w:sz w:val="20"/>
                <w:szCs w:val="20"/>
              </w:rPr>
            </w:pPr>
            <w:r>
              <w:rPr>
                <w:rFonts w:eastAsia="Times New Roman"/>
                <w:b/>
                <w:bCs/>
                <w:sz w:val="20"/>
                <w:szCs w:val="20"/>
              </w:rPr>
              <w:t>Adjusted EBITDA</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0.4</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pPr>
              <w:rPr>
                <w:rFonts w:eastAsia="Times New Roman"/>
                <w:b/>
                <w:bCs/>
                <w:sz w:val="20"/>
                <w:szCs w:val="20"/>
              </w:rPr>
            </w:pPr>
            <w:r>
              <w:rPr>
                <w:rFonts w:eastAsia="Times New Roman"/>
                <w:b/>
                <w:bCs/>
                <w:sz w:val="20"/>
                <w:szCs w:val="20"/>
              </w:rPr>
              <w:t> </w:t>
            </w:r>
          </w:p>
        </w:tc>
        <w:tc>
          <w:tcPr>
            <w:tcW w:w="0" w:type="auto"/>
            <w:shd w:val="clear" w:color="auto" w:fill="CCEEFF"/>
            <w:vAlign w:val="bottom"/>
            <w:hideMark/>
          </w:tcPr>
          <w:p>
            <w:pPr>
              <w:jc w:val="right"/>
              <w:rPr>
                <w:rFonts w:eastAsia="Times New Roman"/>
                <w:b/>
                <w:bCs/>
                <w:sz w:val="20"/>
                <w:szCs w:val="20"/>
              </w:rPr>
            </w:pPr>
            <w:r>
              <w:rPr>
                <w:rFonts w:eastAsia="Times New Roman"/>
                <w:b/>
                <w:bCs/>
                <w:sz w:val="20"/>
                <w:szCs w:val="20"/>
              </w:rPr>
              <w:t>3.1</w:t>
            </w:r>
          </w:p>
        </w:tc>
        <w:tc>
          <w:tcPr>
            <w:tcW w:w="0" w:type="auto"/>
            <w:shd w:val="clear" w:color="auto" w:fill="CCEEFF"/>
            <w:vAlign w:val="bottom"/>
            <w:hideMark/>
          </w:tcPr>
          <w:p>
            <w:pPr>
              <w:rPr>
                <w:rFonts w:eastAsia="Times New Roman"/>
                <w:b/>
                <w:bCs/>
                <w:sz w:val="20"/>
                <w:szCs w:val="20"/>
              </w:rPr>
            </w:pPr>
            <w:r>
              <w:rPr>
                <w:rFonts w:eastAsia="Times New Roman"/>
                <w:b/>
                <w:bCs/>
                <w:sz w:val="20"/>
                <w:szCs w:val="20"/>
              </w:rPr>
              <w:t> </w:t>
            </w:r>
          </w:p>
        </w:tc>
      </w:tr>
    </w:tbl>
    <w:p>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3327"/>
        <w:gridCol w:w="3427"/>
        <w:gridCol w:w="3326"/>
      </w:tblGrid>
      <w:tr>
        <w:trPr>
          <w:divId w:val="1342783929"/>
        </w:trPr>
        <w:tc>
          <w:tcPr>
            <w:tcW w:w="1650" w:type="pct"/>
            <w:hideMark/>
          </w:tcPr>
          <w:p>
            <w:pPr>
              <w:rPr>
                <w:rFonts w:eastAsia="Times New Roman"/>
                <w:sz w:val="20"/>
                <w:szCs w:val="20"/>
              </w:rPr>
            </w:pPr>
            <w:r>
              <w:rPr>
                <w:rFonts w:eastAsia="Times New Roman"/>
                <w:sz w:val="20"/>
                <w:szCs w:val="20"/>
              </w:rPr>
              <w:t> </w:t>
            </w:r>
          </w:p>
        </w:tc>
        <w:tc>
          <w:tcPr>
            <w:tcW w:w="1700" w:type="pct"/>
            <w:hideMark/>
          </w:tcPr>
          <w:p>
            <w:pPr>
              <w:rPr>
                <w:rFonts w:eastAsia="Times New Roman"/>
                <w:sz w:val="20"/>
                <w:szCs w:val="20"/>
              </w:rPr>
            </w:pPr>
            <w:r>
              <w:rPr>
                <w:rFonts w:eastAsia="Times New Roman"/>
                <w:sz w:val="20"/>
                <w:szCs w:val="20"/>
              </w:rPr>
              <w:t> </w:t>
            </w:r>
          </w:p>
        </w:tc>
        <w:tc>
          <w:tcPr>
            <w:tcW w:w="1650" w:type="pct"/>
            <w:hideMark/>
          </w:tcPr>
          <w:p>
            <w:pPr>
              <w:rPr>
                <w:rFonts w:eastAsia="Times New Roman"/>
                <w:sz w:val="20"/>
                <w:szCs w:val="20"/>
              </w:rPr>
            </w:pPr>
            <w:r>
              <w:rPr>
                <w:rFonts w:eastAsia="Times New Roman"/>
                <w:sz w:val="20"/>
                <w:szCs w:val="20"/>
              </w:rPr>
              <w:t> </w:t>
            </w:r>
          </w:p>
        </w:tc>
      </w:tr>
    </w:tbl>
    <w:p>
      <w:pPr>
        <w:pStyle w:val="NormalWeb"/>
        <w:pageBreakBefore/>
        <w:spacing w:before="0" w:beforeAutospacing="0" w:after="0" w:afterAutospacing="0"/>
        <w:divId w:val="2141148854"/>
        <w:rPr>
          <w:sz w:val="20"/>
          <w:szCs w:val="20"/>
        </w:rPr>
      </w:pPr>
      <w:r>
        <w:rPr>
          <w:sz w:val="20"/>
          <w:szCs w:val="20"/>
        </w:rPr>
        <w:lastRenderedPageBreak/>
        <w:t> </w:t>
      </w:r>
    </w:p>
    <w:p>
      <w:pPr>
        <w:pStyle w:val="NormalWeb"/>
        <w:spacing w:before="0" w:beforeAutospacing="0" w:after="0" w:afterAutospacing="0"/>
        <w:divId w:val="782387770"/>
        <w:rPr>
          <w:sz w:val="20"/>
          <w:szCs w:val="20"/>
        </w:rPr>
      </w:pP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noProof/>
          <w:sz w:val="20"/>
          <w:szCs w:val="20"/>
        </w:rPr>
        <w:drawing>
          <wp:inline distT="0" distB="0" distL="0" distR="0">
            <wp:extent cx="1885950" cy="885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85950" cy="885825"/>
                    </a:xfrm>
                    <a:prstGeom prst="rect">
                      <a:avLst/>
                    </a:prstGeom>
                    <a:noFill/>
                    <a:ln>
                      <a:noFill/>
                    </a:ln>
                  </pic:spPr>
                </pic:pic>
              </a:graphicData>
            </a:graphic>
          </wp:inline>
        </w:drawing>
      </w: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Reconciliation of Adjusted EBITDA and Adjusted EBIT to net profit as required by the rules of the U.S. Securities and Exchange Commission with respect to non-GAAP financial measures (HY2022 results are presented also in HY2023 exchange rates)</w:t>
      </w:r>
    </w:p>
    <w:p>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6147"/>
        <w:gridCol w:w="99"/>
        <w:gridCol w:w="99"/>
        <w:gridCol w:w="1006"/>
        <w:gridCol w:w="99"/>
        <w:gridCol w:w="100"/>
        <w:gridCol w:w="100"/>
        <w:gridCol w:w="1007"/>
        <w:gridCol w:w="100"/>
        <w:gridCol w:w="100"/>
        <w:gridCol w:w="103"/>
        <w:gridCol w:w="1020"/>
        <w:gridCol w:w="100"/>
      </w:tblGrid>
      <w:tr>
        <w:tc>
          <w:tcPr>
            <w:tcW w:w="0" w:type="auto"/>
            <w:vAlign w:val="bottom"/>
            <w:hideMark/>
          </w:tcPr>
          <w:p>
            <w:pPr>
              <w:jc w:val="center"/>
              <w:rPr>
                <w:rFonts w:eastAsia="Times New Roman"/>
                <w:sz w:val="20"/>
                <w:szCs w:val="20"/>
              </w:rPr>
            </w:pPr>
            <w:r>
              <w:rPr>
                <w:rFonts w:eastAsia="Times New Roman"/>
                <w:sz w:val="20"/>
                <w:szCs w:val="20"/>
              </w:rPr>
              <w:t> </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gridSpan w:val="2"/>
            <w:tcBorders>
              <w:bottom w:val="single" w:sz="8" w:space="0" w:color="000000"/>
            </w:tcBorders>
            <w:vAlign w:val="bottom"/>
            <w:hideMark/>
          </w:tcPr>
          <w:p>
            <w:pPr>
              <w:jc w:val="center"/>
              <w:rPr>
                <w:rFonts w:eastAsia="Times New Roman"/>
                <w:b/>
                <w:bCs/>
                <w:sz w:val="20"/>
                <w:szCs w:val="20"/>
              </w:rPr>
            </w:pPr>
            <w:r>
              <w:rPr>
                <w:rFonts w:eastAsia="Times New Roman"/>
                <w:b/>
                <w:bCs/>
                <w:sz w:val="20"/>
                <w:szCs w:val="20"/>
              </w:rPr>
              <w:t>HY2023</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gridSpan w:val="2"/>
            <w:tcBorders>
              <w:bottom w:val="single" w:sz="8" w:space="0" w:color="000000"/>
            </w:tcBorders>
            <w:vAlign w:val="bottom"/>
            <w:hideMark/>
          </w:tcPr>
          <w:p>
            <w:pPr>
              <w:jc w:val="center"/>
              <w:rPr>
                <w:rFonts w:eastAsia="Times New Roman"/>
                <w:b/>
                <w:bCs/>
                <w:sz w:val="20"/>
                <w:szCs w:val="20"/>
              </w:rPr>
            </w:pPr>
            <w:r>
              <w:rPr>
                <w:rFonts w:eastAsia="Times New Roman"/>
                <w:b/>
                <w:bCs/>
                <w:sz w:val="20"/>
                <w:szCs w:val="20"/>
              </w:rPr>
              <w:t>HY2022</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gridSpan w:val="2"/>
            <w:tcBorders>
              <w:bottom w:val="single" w:sz="8" w:space="0" w:color="000000"/>
            </w:tcBorders>
            <w:vAlign w:val="bottom"/>
            <w:hideMark/>
          </w:tcPr>
          <w:p>
            <w:pPr>
              <w:jc w:val="center"/>
              <w:rPr>
                <w:rFonts w:eastAsia="Times New Roman"/>
                <w:b/>
                <w:bCs/>
                <w:sz w:val="20"/>
                <w:szCs w:val="20"/>
              </w:rPr>
            </w:pPr>
            <w:r>
              <w:rPr>
                <w:rFonts w:eastAsia="Times New Roman"/>
                <w:b/>
                <w:bCs/>
                <w:sz w:val="20"/>
                <w:szCs w:val="20"/>
              </w:rPr>
              <w:t>HY2022(CC)</w:t>
            </w:r>
          </w:p>
        </w:tc>
        <w:tc>
          <w:tcPr>
            <w:tcW w:w="0" w:type="auto"/>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r>
      <w:tr>
        <w:tc>
          <w:tcPr>
            <w:tcW w:w="3050" w:type="pct"/>
            <w:shd w:val="clear" w:color="auto" w:fill="CCEEFF"/>
            <w:vAlign w:val="bottom"/>
            <w:hideMark/>
          </w:tcPr>
          <w:p>
            <w:pPr>
              <w:rPr>
                <w:rFonts w:eastAsia="Times New Roman"/>
                <w:sz w:val="20"/>
                <w:szCs w:val="20"/>
              </w:rPr>
            </w:pPr>
            <w:r>
              <w:rPr>
                <w:rFonts w:eastAsia="Times New Roman"/>
                <w:sz w:val="20"/>
                <w:szCs w:val="20"/>
              </w:rPr>
              <w:t>Net profit (loss)</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0" w:type="pct"/>
            <w:shd w:val="clear" w:color="auto" w:fill="CCEEFF"/>
            <w:vAlign w:val="bottom"/>
            <w:hideMark/>
          </w:tcPr>
          <w:p>
            <w:pPr>
              <w:jc w:val="right"/>
              <w:rPr>
                <w:rFonts w:eastAsia="Times New Roman"/>
                <w:sz w:val="20"/>
                <w:szCs w:val="20"/>
              </w:rPr>
            </w:pPr>
            <w:r>
              <w:rPr>
                <w:rFonts w:eastAsia="Times New Roman"/>
                <w:sz w:val="20"/>
                <w:szCs w:val="20"/>
              </w:rPr>
              <w:t>(2.1</w:t>
            </w:r>
          </w:p>
        </w:tc>
        <w:tc>
          <w:tcPr>
            <w:tcW w:w="50" w:type="pct"/>
            <w:shd w:val="clear" w:color="auto" w:fill="CCEEFF"/>
            <w:vAlign w:val="bottom"/>
            <w:hideMark/>
          </w:tcPr>
          <w:p>
            <w:pPr>
              <w:rPr>
                <w:rFonts w:eastAsia="Times New Roman"/>
                <w:sz w:val="20"/>
                <w:szCs w:val="20"/>
              </w:rPr>
            </w:pPr>
            <w:r>
              <w:rPr>
                <w:rFonts w:eastAsia="Times New Roman"/>
                <w:sz w:val="20"/>
                <w:szCs w:val="20"/>
              </w:rPr>
              <w:t>)</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0" w:type="pct"/>
            <w:shd w:val="clear" w:color="auto" w:fill="CCEEFF"/>
            <w:vAlign w:val="bottom"/>
            <w:hideMark/>
          </w:tcPr>
          <w:p>
            <w:pPr>
              <w:jc w:val="right"/>
              <w:rPr>
                <w:rFonts w:eastAsia="Times New Roman"/>
                <w:sz w:val="20"/>
                <w:szCs w:val="20"/>
              </w:rPr>
            </w:pPr>
            <w:r>
              <w:rPr>
                <w:rFonts w:eastAsia="Times New Roman"/>
                <w:sz w:val="20"/>
                <w:szCs w:val="20"/>
              </w:rPr>
              <w:t>0.1</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 w:type="pct"/>
            <w:shd w:val="clear" w:color="auto" w:fill="CCEEFF"/>
            <w:vAlign w:val="bottom"/>
            <w:hideMark/>
          </w:tcPr>
          <w:p>
            <w:pPr>
              <w:rPr>
                <w:rFonts w:eastAsia="Times New Roman"/>
                <w:sz w:val="20"/>
                <w:szCs w:val="20"/>
              </w:rPr>
            </w:pPr>
            <w:r>
              <w:rPr>
                <w:rFonts w:eastAsia="Times New Roman"/>
                <w:sz w:val="20"/>
                <w:szCs w:val="20"/>
              </w:rPr>
              <w:t> </w:t>
            </w:r>
          </w:p>
        </w:tc>
        <w:tc>
          <w:tcPr>
            <w:tcW w:w="500" w:type="pct"/>
            <w:shd w:val="clear" w:color="auto" w:fill="CCEEFF"/>
            <w:vAlign w:val="bottom"/>
            <w:hideMark/>
          </w:tcPr>
          <w:p>
            <w:pPr>
              <w:jc w:val="right"/>
              <w:rPr>
                <w:rFonts w:eastAsia="Times New Roman"/>
                <w:sz w:val="20"/>
                <w:szCs w:val="20"/>
              </w:rPr>
            </w:pPr>
            <w:r>
              <w:rPr>
                <w:rFonts w:eastAsia="Times New Roman"/>
                <w:sz w:val="20"/>
                <w:szCs w:val="20"/>
              </w:rPr>
              <w:t>(0.1</w:t>
            </w:r>
          </w:p>
        </w:tc>
        <w:tc>
          <w:tcPr>
            <w:tcW w:w="50" w:type="pct"/>
            <w:shd w:val="clear" w:color="auto" w:fill="CCEEFF"/>
            <w:vAlign w:val="bottom"/>
            <w:hideMark/>
          </w:tcPr>
          <w:p>
            <w:pPr>
              <w:rPr>
                <w:rFonts w:eastAsia="Times New Roman"/>
                <w:sz w:val="20"/>
                <w:szCs w:val="20"/>
              </w:rPr>
            </w:pPr>
            <w:r>
              <w:rPr>
                <w:rFonts w:eastAsia="Times New Roman"/>
                <w:sz w:val="20"/>
                <w:szCs w:val="20"/>
              </w:rPr>
              <w:t>)</w:t>
            </w:r>
          </w:p>
        </w:tc>
      </w:tr>
      <w:tr>
        <w:tc>
          <w:tcPr>
            <w:tcW w:w="0" w:type="auto"/>
            <w:shd w:val="clear" w:color="auto" w:fill="FFFFFF"/>
            <w:vAlign w:val="bottom"/>
            <w:hideMark/>
          </w:tcPr>
          <w:p>
            <w:pPr>
              <w:rPr>
                <w:rFonts w:eastAsia="Times New Roman"/>
                <w:sz w:val="20"/>
                <w:szCs w:val="20"/>
              </w:rPr>
            </w:pPr>
            <w:r>
              <w:rPr>
                <w:rFonts w:eastAsia="Times New Roman"/>
                <w:sz w:val="20"/>
                <w:szCs w:val="20"/>
              </w:rPr>
              <w:t>Financial income, net</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(3.0</w:t>
            </w:r>
          </w:p>
        </w:tc>
        <w:tc>
          <w:tcPr>
            <w:tcW w:w="0" w:type="auto"/>
            <w:shd w:val="clear" w:color="auto" w:fill="FFFFFF"/>
            <w:vAlign w:val="bottom"/>
            <w:hideMark/>
          </w:tcPr>
          <w:p>
            <w:pPr>
              <w:rPr>
                <w:rFonts w:eastAsia="Times New Roman"/>
                <w:sz w:val="20"/>
                <w:szCs w:val="20"/>
              </w:rPr>
            </w:pPr>
            <w:r>
              <w:rPr>
                <w:rFonts w:eastAsia="Times New Roman"/>
                <w:sz w:val="20"/>
                <w:szCs w:val="20"/>
              </w:rPr>
              <w:t>)</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(1.3</w:t>
            </w:r>
          </w:p>
        </w:tc>
        <w:tc>
          <w:tcPr>
            <w:tcW w:w="0" w:type="auto"/>
            <w:shd w:val="clear" w:color="auto" w:fill="FFFFFF"/>
            <w:vAlign w:val="bottom"/>
            <w:hideMark/>
          </w:tcPr>
          <w:p>
            <w:pPr>
              <w:rPr>
                <w:rFonts w:eastAsia="Times New Roman"/>
                <w:sz w:val="20"/>
                <w:szCs w:val="20"/>
              </w:rPr>
            </w:pPr>
            <w:r>
              <w:rPr>
                <w:rFonts w:eastAsia="Times New Roman"/>
                <w:sz w:val="20"/>
                <w:szCs w:val="20"/>
              </w:rPr>
              <w:t>)</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(1.2</w:t>
            </w:r>
          </w:p>
        </w:tc>
        <w:tc>
          <w:tcPr>
            <w:tcW w:w="0" w:type="auto"/>
            <w:shd w:val="clear" w:color="auto" w:fill="FFFFFF"/>
            <w:vAlign w:val="bottom"/>
            <w:hideMark/>
          </w:tcPr>
          <w:p>
            <w:pPr>
              <w:rPr>
                <w:rFonts w:eastAsia="Times New Roman"/>
                <w:sz w:val="20"/>
                <w:szCs w:val="20"/>
              </w:rPr>
            </w:pPr>
            <w:r>
              <w:rPr>
                <w:rFonts w:eastAsia="Times New Roman"/>
                <w:sz w:val="20"/>
                <w:szCs w:val="20"/>
              </w:rPr>
              <w:t>)</w:t>
            </w:r>
          </w:p>
        </w:tc>
      </w:tr>
      <w:tr>
        <w:tc>
          <w:tcPr>
            <w:tcW w:w="0" w:type="auto"/>
            <w:shd w:val="clear" w:color="auto" w:fill="CCEEFF"/>
            <w:vAlign w:val="bottom"/>
            <w:hideMark/>
          </w:tcPr>
          <w:p>
            <w:pPr>
              <w:rPr>
                <w:rFonts w:eastAsia="Times New Roman"/>
                <w:sz w:val="20"/>
                <w:szCs w:val="20"/>
              </w:rPr>
            </w:pPr>
            <w:r>
              <w:rPr>
                <w:rFonts w:eastAsia="Times New Roman"/>
                <w:sz w:val="20"/>
                <w:szCs w:val="20"/>
              </w:rPr>
              <w:t>Tax expenses</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0.7</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0.2</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0.2</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r>
      <w:tr>
        <w:tc>
          <w:tcPr>
            <w:tcW w:w="0" w:type="auto"/>
            <w:shd w:val="clear" w:color="auto" w:fill="FFFF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Depreciation and amortization expenses</w:t>
            </w:r>
          </w:p>
        </w:tc>
        <w:tc>
          <w:tcPr>
            <w:tcW w:w="0" w:type="auto"/>
            <w:shd w:val="clear" w:color="auto" w:fill="FFFF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Borders>
              <w:bottom w:val="single" w:sz="8" w:space="0" w:color="000000"/>
            </w:tcBorders>
            <w:shd w:val="clear" w:color="auto" w:fill="FFFF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Borders>
              <w:bottom w:val="single" w:sz="8" w:space="0" w:color="000000"/>
            </w:tcBorders>
            <w:shd w:val="clear" w:color="auto" w:fill="FFFFFF"/>
            <w:vAlign w:val="bottom"/>
            <w:hideMark/>
          </w:tcPr>
          <w:p>
            <w:pPr>
              <w:jc w:val="right"/>
              <w:rPr>
                <w:rFonts w:eastAsia="Times New Roman"/>
                <w:sz w:val="20"/>
                <w:szCs w:val="20"/>
              </w:rPr>
            </w:pPr>
            <w:r>
              <w:rPr>
                <w:rFonts w:eastAsia="Times New Roman"/>
                <w:sz w:val="20"/>
                <w:szCs w:val="20"/>
              </w:rPr>
              <w:t>3.5</w:t>
            </w:r>
          </w:p>
        </w:tc>
        <w:tc>
          <w:tcPr>
            <w:tcW w:w="0" w:type="auto"/>
            <w:shd w:val="clear" w:color="auto" w:fill="FFFF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shd w:val="clear" w:color="auto" w:fill="FFFF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Borders>
              <w:bottom w:val="single" w:sz="8" w:space="0" w:color="000000"/>
            </w:tcBorders>
            <w:shd w:val="clear" w:color="auto" w:fill="FFFF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Borders>
              <w:bottom w:val="single" w:sz="8" w:space="0" w:color="000000"/>
            </w:tcBorders>
            <w:shd w:val="clear" w:color="auto" w:fill="FFFFFF"/>
            <w:vAlign w:val="bottom"/>
            <w:hideMark/>
          </w:tcPr>
          <w:p>
            <w:pPr>
              <w:jc w:val="right"/>
              <w:rPr>
                <w:rFonts w:eastAsia="Times New Roman"/>
                <w:sz w:val="20"/>
                <w:szCs w:val="20"/>
              </w:rPr>
            </w:pPr>
            <w:r>
              <w:rPr>
                <w:rFonts w:eastAsia="Times New Roman"/>
                <w:sz w:val="20"/>
                <w:szCs w:val="20"/>
              </w:rPr>
              <w:t>3.4</w:t>
            </w:r>
          </w:p>
        </w:tc>
        <w:tc>
          <w:tcPr>
            <w:tcW w:w="0" w:type="auto"/>
            <w:shd w:val="clear" w:color="auto" w:fill="FFFF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shd w:val="clear" w:color="auto" w:fill="FFFF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Borders>
              <w:bottom w:val="single" w:sz="8" w:space="0" w:color="000000"/>
            </w:tcBorders>
            <w:shd w:val="clear" w:color="auto" w:fill="FFFF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Borders>
              <w:bottom w:val="single" w:sz="8" w:space="0" w:color="000000"/>
            </w:tcBorders>
            <w:shd w:val="clear" w:color="auto" w:fill="FFFFFF"/>
            <w:vAlign w:val="bottom"/>
            <w:hideMark/>
          </w:tcPr>
          <w:p>
            <w:pPr>
              <w:jc w:val="right"/>
              <w:rPr>
                <w:rFonts w:eastAsia="Times New Roman"/>
                <w:sz w:val="20"/>
                <w:szCs w:val="20"/>
              </w:rPr>
            </w:pPr>
            <w:r>
              <w:rPr>
                <w:rFonts w:eastAsia="Times New Roman"/>
                <w:sz w:val="20"/>
                <w:szCs w:val="20"/>
              </w:rPr>
              <w:t>3.2</w:t>
            </w:r>
          </w:p>
        </w:tc>
        <w:tc>
          <w:tcPr>
            <w:tcW w:w="0" w:type="auto"/>
            <w:shd w:val="clear" w:color="auto" w:fill="FFFF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r>
      <w:tr>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r>
      <w:tr>
        <w:tc>
          <w:tcPr>
            <w:tcW w:w="0" w:type="auto"/>
            <w:shd w:val="clear" w:color="auto" w:fill="FFFF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EBITDA</w:t>
            </w:r>
          </w:p>
        </w:tc>
        <w:tc>
          <w:tcPr>
            <w:tcW w:w="0" w:type="auto"/>
            <w:shd w:val="clear" w:color="auto" w:fill="FFFFFF"/>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tcBorders>
              <w:bottom w:val="single" w:sz="8" w:space="0" w:color="000000"/>
            </w:tcBorders>
            <w:shd w:val="clear" w:color="auto" w:fill="FFFFFF"/>
            <w:vAlign w:val="bottom"/>
            <w:hideMark/>
          </w:tcPr>
          <w:p>
            <w:pPr>
              <w:rPr>
                <w:rFonts w:eastAsia="Times New Roman"/>
                <w:b/>
                <w:bCs/>
                <w:sz w:val="20"/>
                <w:szCs w:val="20"/>
              </w:rPr>
            </w:pPr>
            <w:r>
              <w:rPr>
                <w:rFonts w:eastAsia="Times New Roman"/>
                <w:b/>
                <w:bCs/>
                <w:sz w:val="20"/>
                <w:szCs w:val="20"/>
              </w:rPr>
              <w:t> </w:t>
            </w:r>
          </w:p>
        </w:tc>
        <w:tc>
          <w:tcPr>
            <w:tcW w:w="0" w:type="auto"/>
            <w:tcBorders>
              <w:bottom w:val="single" w:sz="8" w:space="0" w:color="000000"/>
            </w:tcBorders>
            <w:shd w:val="clear" w:color="auto" w:fill="FFFFFF"/>
            <w:vAlign w:val="bottom"/>
            <w:hideMark/>
          </w:tcPr>
          <w:p>
            <w:pPr>
              <w:jc w:val="right"/>
              <w:rPr>
                <w:rFonts w:eastAsia="Times New Roman"/>
                <w:b/>
                <w:bCs/>
                <w:sz w:val="20"/>
                <w:szCs w:val="20"/>
              </w:rPr>
            </w:pPr>
            <w:r>
              <w:rPr>
                <w:rFonts w:eastAsia="Times New Roman"/>
                <w:b/>
                <w:bCs/>
                <w:sz w:val="20"/>
                <w:szCs w:val="20"/>
              </w:rPr>
              <w:t>(0.9</w:t>
            </w:r>
          </w:p>
        </w:tc>
        <w:tc>
          <w:tcPr>
            <w:tcW w:w="0" w:type="auto"/>
            <w:shd w:val="clear" w:color="auto" w:fill="FFFFFF"/>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w:t>
            </w:r>
          </w:p>
        </w:tc>
        <w:tc>
          <w:tcPr>
            <w:tcW w:w="0" w:type="auto"/>
            <w:shd w:val="clear" w:color="auto" w:fill="FFFFFF"/>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tcBorders>
              <w:bottom w:val="single" w:sz="8" w:space="0" w:color="000000"/>
            </w:tcBorders>
            <w:shd w:val="clear" w:color="auto" w:fill="FFFFFF"/>
            <w:vAlign w:val="bottom"/>
            <w:hideMark/>
          </w:tcPr>
          <w:p>
            <w:pPr>
              <w:rPr>
                <w:rFonts w:eastAsia="Times New Roman"/>
                <w:b/>
                <w:bCs/>
                <w:sz w:val="20"/>
                <w:szCs w:val="20"/>
              </w:rPr>
            </w:pPr>
            <w:r>
              <w:rPr>
                <w:rFonts w:eastAsia="Times New Roman"/>
                <w:b/>
                <w:bCs/>
                <w:sz w:val="20"/>
                <w:szCs w:val="20"/>
              </w:rPr>
              <w:t> </w:t>
            </w:r>
          </w:p>
        </w:tc>
        <w:tc>
          <w:tcPr>
            <w:tcW w:w="0" w:type="auto"/>
            <w:tcBorders>
              <w:bottom w:val="single" w:sz="8" w:space="0" w:color="000000"/>
            </w:tcBorders>
            <w:shd w:val="clear" w:color="auto" w:fill="FFFFFF"/>
            <w:vAlign w:val="bottom"/>
            <w:hideMark/>
          </w:tcPr>
          <w:p>
            <w:pPr>
              <w:jc w:val="right"/>
              <w:rPr>
                <w:rFonts w:eastAsia="Times New Roman"/>
                <w:b/>
                <w:bCs/>
                <w:sz w:val="20"/>
                <w:szCs w:val="20"/>
              </w:rPr>
            </w:pPr>
            <w:r>
              <w:rPr>
                <w:rFonts w:eastAsia="Times New Roman"/>
                <w:b/>
                <w:bCs/>
                <w:sz w:val="20"/>
                <w:szCs w:val="20"/>
              </w:rPr>
              <w:t>2.4</w:t>
            </w:r>
          </w:p>
        </w:tc>
        <w:tc>
          <w:tcPr>
            <w:tcW w:w="0" w:type="auto"/>
            <w:shd w:val="clear" w:color="auto" w:fill="FFFFFF"/>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shd w:val="clear" w:color="auto" w:fill="FFFFFF"/>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tcBorders>
              <w:bottom w:val="single" w:sz="8" w:space="0" w:color="000000"/>
            </w:tcBorders>
            <w:shd w:val="clear" w:color="auto" w:fill="FFFFFF"/>
            <w:vAlign w:val="bottom"/>
            <w:hideMark/>
          </w:tcPr>
          <w:p>
            <w:pPr>
              <w:rPr>
                <w:rFonts w:eastAsia="Times New Roman"/>
                <w:b/>
                <w:bCs/>
                <w:sz w:val="20"/>
                <w:szCs w:val="20"/>
              </w:rPr>
            </w:pPr>
            <w:r>
              <w:rPr>
                <w:rFonts w:eastAsia="Times New Roman"/>
                <w:b/>
                <w:bCs/>
                <w:sz w:val="20"/>
                <w:szCs w:val="20"/>
              </w:rPr>
              <w:t> </w:t>
            </w:r>
          </w:p>
        </w:tc>
        <w:tc>
          <w:tcPr>
            <w:tcW w:w="0" w:type="auto"/>
            <w:tcBorders>
              <w:bottom w:val="single" w:sz="8" w:space="0" w:color="000000"/>
            </w:tcBorders>
            <w:shd w:val="clear" w:color="auto" w:fill="FFFFFF"/>
            <w:vAlign w:val="bottom"/>
            <w:hideMark/>
          </w:tcPr>
          <w:p>
            <w:pPr>
              <w:jc w:val="right"/>
              <w:rPr>
                <w:rFonts w:eastAsia="Times New Roman"/>
                <w:b/>
                <w:bCs/>
                <w:sz w:val="20"/>
                <w:szCs w:val="20"/>
              </w:rPr>
            </w:pPr>
            <w:r>
              <w:rPr>
                <w:rFonts w:eastAsia="Times New Roman"/>
                <w:b/>
                <w:bCs/>
                <w:sz w:val="20"/>
                <w:szCs w:val="20"/>
              </w:rPr>
              <w:t>2.1</w:t>
            </w:r>
          </w:p>
        </w:tc>
        <w:tc>
          <w:tcPr>
            <w:tcW w:w="0" w:type="auto"/>
            <w:shd w:val="clear" w:color="auto" w:fill="FFFFFF"/>
            <w:tcMar>
              <w:top w:w="0" w:type="dxa"/>
              <w:left w:w="0" w:type="dxa"/>
              <w:bottom w:w="20" w:type="dxa"/>
              <w:right w:w="0" w:type="dxa"/>
            </w:tcMar>
            <w:vAlign w:val="bottom"/>
            <w:hideMark/>
          </w:tcPr>
          <w:p>
            <w:pPr>
              <w:rPr>
                <w:rFonts w:eastAsia="Times New Roman"/>
                <w:b/>
                <w:bCs/>
                <w:sz w:val="20"/>
                <w:szCs w:val="20"/>
              </w:rPr>
            </w:pPr>
            <w:r>
              <w:rPr>
                <w:rFonts w:eastAsia="Times New Roman"/>
                <w:b/>
                <w:bCs/>
                <w:sz w:val="20"/>
                <w:szCs w:val="20"/>
              </w:rPr>
              <w:t> </w:t>
            </w:r>
          </w:p>
        </w:tc>
      </w:tr>
      <w:tr>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c>
          <w:tcPr>
            <w:tcW w:w="0" w:type="auto"/>
            <w:shd w:val="clear" w:color="auto" w:fill="CCEEFF"/>
            <w:vAlign w:val="bottom"/>
            <w:hideMark/>
          </w:tcPr>
          <w:p>
            <w:pPr>
              <w:jc w:val="right"/>
              <w:rPr>
                <w:rFonts w:eastAsia="Times New Roman"/>
                <w:sz w:val="20"/>
                <w:szCs w:val="20"/>
              </w:rPr>
            </w:pPr>
            <w:r>
              <w:rPr>
                <w:rFonts w:eastAsia="Times New Roman"/>
                <w:sz w:val="20"/>
                <w:szCs w:val="20"/>
              </w:rPr>
              <w:t> </w:t>
            </w:r>
          </w:p>
        </w:tc>
        <w:tc>
          <w:tcPr>
            <w:tcW w:w="0" w:type="auto"/>
            <w:shd w:val="clear" w:color="auto" w:fill="CCEEFF"/>
            <w:vAlign w:val="bottom"/>
            <w:hideMark/>
          </w:tcPr>
          <w:p>
            <w:pPr>
              <w:rPr>
                <w:rFonts w:eastAsia="Times New Roman"/>
                <w:sz w:val="20"/>
                <w:szCs w:val="20"/>
              </w:rPr>
            </w:pPr>
            <w:r>
              <w:rPr>
                <w:rFonts w:eastAsia="Times New Roman"/>
                <w:sz w:val="20"/>
                <w:szCs w:val="20"/>
              </w:rPr>
              <w:t> </w:t>
            </w:r>
          </w:p>
        </w:tc>
      </w:tr>
      <w:tr>
        <w:tc>
          <w:tcPr>
            <w:tcW w:w="0" w:type="auto"/>
            <w:shd w:val="clear" w:color="auto" w:fill="FFFFFF"/>
            <w:vAlign w:val="bottom"/>
            <w:hideMark/>
          </w:tcPr>
          <w:p>
            <w:pPr>
              <w:rPr>
                <w:rFonts w:eastAsia="Times New Roman"/>
                <w:sz w:val="20"/>
                <w:szCs w:val="20"/>
              </w:rPr>
            </w:pPr>
            <w:r>
              <w:rPr>
                <w:rFonts w:eastAsia="Times New Roman"/>
                <w:sz w:val="20"/>
                <w:szCs w:val="20"/>
              </w:rPr>
              <w:t>Cost of share-based payment</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0.8</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1.0</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0.9</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r>
        <w:tc>
          <w:tcPr>
            <w:tcW w:w="0" w:type="auto"/>
            <w:shd w:val="clear" w:color="auto" w:fill="CCEE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Non- recurring expenses</w:t>
            </w:r>
          </w:p>
        </w:tc>
        <w:tc>
          <w:tcPr>
            <w:tcW w:w="0" w:type="auto"/>
            <w:shd w:val="clear" w:color="auto" w:fill="CCEE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Borders>
              <w:bottom w:val="single" w:sz="8" w:space="0" w:color="000000"/>
            </w:tcBorders>
            <w:shd w:val="clear" w:color="auto" w:fill="CCEE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Borders>
              <w:bottom w:val="single" w:sz="8" w:space="0" w:color="000000"/>
            </w:tcBorders>
            <w:shd w:val="clear" w:color="auto" w:fill="CCEEFF"/>
            <w:vAlign w:val="bottom"/>
            <w:hideMark/>
          </w:tcPr>
          <w:p>
            <w:pPr>
              <w:jc w:val="right"/>
              <w:rPr>
                <w:rFonts w:eastAsia="Times New Roman"/>
                <w:sz w:val="20"/>
                <w:szCs w:val="20"/>
              </w:rPr>
            </w:pPr>
            <w:r>
              <w:rPr>
                <w:rFonts w:eastAsia="Times New Roman"/>
                <w:sz w:val="20"/>
                <w:szCs w:val="20"/>
              </w:rPr>
              <w:t>0.5</w:t>
            </w:r>
          </w:p>
        </w:tc>
        <w:tc>
          <w:tcPr>
            <w:tcW w:w="0" w:type="auto"/>
            <w:shd w:val="clear" w:color="auto" w:fill="CCEE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shd w:val="clear" w:color="auto" w:fill="CCEE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Borders>
              <w:bottom w:val="single" w:sz="8" w:space="0" w:color="000000"/>
            </w:tcBorders>
            <w:shd w:val="clear" w:color="auto" w:fill="CCEE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Borders>
              <w:bottom w:val="single" w:sz="8" w:space="0" w:color="000000"/>
            </w:tcBorders>
            <w:shd w:val="clear" w:color="auto" w:fill="CCEEFF"/>
            <w:vAlign w:val="bottom"/>
            <w:hideMark/>
          </w:tcPr>
          <w:p>
            <w:pPr>
              <w:jc w:val="right"/>
              <w:rPr>
                <w:rFonts w:eastAsia="Times New Roman"/>
                <w:sz w:val="20"/>
                <w:szCs w:val="20"/>
              </w:rPr>
            </w:pPr>
            <w:r>
              <w:rPr>
                <w:rFonts w:eastAsia="Times New Roman"/>
                <w:sz w:val="20"/>
                <w:szCs w:val="20"/>
              </w:rPr>
              <w:t>0.1</w:t>
            </w:r>
          </w:p>
        </w:tc>
        <w:tc>
          <w:tcPr>
            <w:tcW w:w="0" w:type="auto"/>
            <w:shd w:val="clear" w:color="auto" w:fill="CCEE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shd w:val="clear" w:color="auto" w:fill="CCEE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Borders>
              <w:bottom w:val="single" w:sz="8" w:space="0" w:color="000000"/>
            </w:tcBorders>
            <w:shd w:val="clear" w:color="auto" w:fill="CCEE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c>
          <w:tcPr>
            <w:tcW w:w="0" w:type="auto"/>
            <w:tcBorders>
              <w:bottom w:val="single" w:sz="8" w:space="0" w:color="000000"/>
            </w:tcBorders>
            <w:shd w:val="clear" w:color="auto" w:fill="CCEEFF"/>
            <w:vAlign w:val="bottom"/>
            <w:hideMark/>
          </w:tcPr>
          <w:p>
            <w:pPr>
              <w:jc w:val="right"/>
              <w:rPr>
                <w:rFonts w:eastAsia="Times New Roman"/>
                <w:sz w:val="20"/>
                <w:szCs w:val="20"/>
              </w:rPr>
            </w:pPr>
            <w:r>
              <w:rPr>
                <w:rFonts w:eastAsia="Times New Roman"/>
                <w:sz w:val="20"/>
                <w:szCs w:val="20"/>
              </w:rPr>
              <w:t>0.1</w:t>
            </w:r>
          </w:p>
        </w:tc>
        <w:tc>
          <w:tcPr>
            <w:tcW w:w="0" w:type="auto"/>
            <w:shd w:val="clear" w:color="auto" w:fill="CCEEFF"/>
            <w:tcMar>
              <w:top w:w="0" w:type="dxa"/>
              <w:left w:w="0" w:type="dxa"/>
              <w:bottom w:w="20" w:type="dxa"/>
              <w:right w:w="0" w:type="dxa"/>
            </w:tcMar>
            <w:vAlign w:val="bottom"/>
            <w:hideMark/>
          </w:tcPr>
          <w:p>
            <w:pPr>
              <w:rPr>
                <w:rFonts w:eastAsia="Times New Roman"/>
                <w:sz w:val="20"/>
                <w:szCs w:val="20"/>
              </w:rPr>
            </w:pPr>
            <w:r>
              <w:rPr>
                <w:rFonts w:eastAsia="Times New Roman"/>
                <w:sz w:val="20"/>
                <w:szCs w:val="20"/>
              </w:rPr>
              <w:t> </w:t>
            </w:r>
          </w:p>
        </w:tc>
      </w:tr>
      <w:tr>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c>
          <w:tcPr>
            <w:tcW w:w="0" w:type="auto"/>
            <w:shd w:val="clear" w:color="auto" w:fill="FFFFFF"/>
            <w:vAlign w:val="bottom"/>
            <w:hideMark/>
          </w:tcPr>
          <w:p>
            <w:pPr>
              <w:jc w:val="right"/>
              <w:rPr>
                <w:rFonts w:eastAsia="Times New Roman"/>
                <w:sz w:val="20"/>
                <w:szCs w:val="20"/>
              </w:rPr>
            </w:pPr>
            <w:r>
              <w:rPr>
                <w:rFonts w:eastAsia="Times New Roman"/>
                <w:sz w:val="20"/>
                <w:szCs w:val="20"/>
              </w:rPr>
              <w:t> </w:t>
            </w:r>
          </w:p>
        </w:tc>
        <w:tc>
          <w:tcPr>
            <w:tcW w:w="0" w:type="auto"/>
            <w:shd w:val="clear" w:color="auto" w:fill="FFFFFF"/>
            <w:vAlign w:val="bottom"/>
            <w:hideMark/>
          </w:tcPr>
          <w:p>
            <w:pPr>
              <w:rPr>
                <w:rFonts w:eastAsia="Times New Roman"/>
                <w:sz w:val="20"/>
                <w:szCs w:val="20"/>
              </w:rPr>
            </w:pPr>
            <w:r>
              <w:rPr>
                <w:rFonts w:eastAsia="Times New Roman"/>
                <w:sz w:val="20"/>
                <w:szCs w:val="20"/>
              </w:rPr>
              <w:t> </w:t>
            </w:r>
          </w:p>
        </w:tc>
      </w:tr>
      <w:tr>
        <w:tc>
          <w:tcPr>
            <w:tcW w:w="0" w:type="auto"/>
            <w:shd w:val="clear" w:color="auto" w:fill="CCEEFF"/>
            <w:tcMar>
              <w:top w:w="0" w:type="dxa"/>
              <w:left w:w="0" w:type="dxa"/>
              <w:bottom w:w="50" w:type="dxa"/>
              <w:right w:w="0" w:type="dxa"/>
            </w:tcMar>
            <w:vAlign w:val="bottom"/>
            <w:hideMark/>
          </w:tcPr>
          <w:p>
            <w:pPr>
              <w:rPr>
                <w:rFonts w:eastAsia="Times New Roman"/>
                <w:sz w:val="20"/>
                <w:szCs w:val="20"/>
              </w:rPr>
            </w:pPr>
            <w:r>
              <w:rPr>
                <w:rFonts w:eastAsia="Times New Roman"/>
                <w:sz w:val="20"/>
                <w:szCs w:val="20"/>
              </w:rPr>
              <w:t>Adjusted EBITDA</w:t>
            </w:r>
          </w:p>
        </w:tc>
        <w:tc>
          <w:tcPr>
            <w:tcW w:w="0" w:type="auto"/>
            <w:shd w:val="clear" w:color="auto" w:fill="CCEEFF"/>
            <w:tcMar>
              <w:top w:w="0" w:type="dxa"/>
              <w:left w:w="0" w:type="dxa"/>
              <w:bottom w:w="5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tcBorders>
              <w:bottom w:val="double" w:sz="6" w:space="0" w:color="000000"/>
            </w:tcBorders>
            <w:shd w:val="clear" w:color="auto" w:fill="CCEEFF"/>
            <w:vAlign w:val="bottom"/>
            <w:hideMark/>
          </w:tcPr>
          <w:p>
            <w:pPr>
              <w:rPr>
                <w:rFonts w:eastAsia="Times New Roman"/>
                <w:b/>
                <w:bCs/>
                <w:sz w:val="20"/>
                <w:szCs w:val="20"/>
              </w:rPr>
            </w:pPr>
            <w:r>
              <w:rPr>
                <w:rFonts w:eastAsia="Times New Roman"/>
                <w:b/>
                <w:bCs/>
                <w:sz w:val="20"/>
                <w:szCs w:val="20"/>
              </w:rPr>
              <w:t> </w:t>
            </w:r>
          </w:p>
        </w:tc>
        <w:tc>
          <w:tcPr>
            <w:tcW w:w="0" w:type="auto"/>
            <w:tcBorders>
              <w:bottom w:val="double" w:sz="6" w:space="0" w:color="000000"/>
            </w:tcBorders>
            <w:shd w:val="clear" w:color="auto" w:fill="CCEEFF"/>
            <w:vAlign w:val="bottom"/>
            <w:hideMark/>
          </w:tcPr>
          <w:p>
            <w:pPr>
              <w:jc w:val="right"/>
              <w:rPr>
                <w:rFonts w:eastAsia="Times New Roman"/>
                <w:b/>
                <w:bCs/>
                <w:sz w:val="20"/>
                <w:szCs w:val="20"/>
              </w:rPr>
            </w:pPr>
            <w:r>
              <w:rPr>
                <w:rFonts w:eastAsia="Times New Roman"/>
                <w:b/>
                <w:bCs/>
                <w:sz w:val="20"/>
                <w:szCs w:val="20"/>
              </w:rPr>
              <w:t>0.4</w:t>
            </w:r>
          </w:p>
        </w:tc>
        <w:tc>
          <w:tcPr>
            <w:tcW w:w="0" w:type="auto"/>
            <w:shd w:val="clear" w:color="auto" w:fill="CCEEFF"/>
            <w:tcMar>
              <w:top w:w="0" w:type="dxa"/>
              <w:left w:w="0" w:type="dxa"/>
              <w:bottom w:w="5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shd w:val="clear" w:color="auto" w:fill="CCEEFF"/>
            <w:tcMar>
              <w:top w:w="0" w:type="dxa"/>
              <w:left w:w="0" w:type="dxa"/>
              <w:bottom w:w="5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tcBorders>
              <w:bottom w:val="double" w:sz="6" w:space="0" w:color="000000"/>
            </w:tcBorders>
            <w:shd w:val="clear" w:color="auto" w:fill="CCEEFF"/>
            <w:vAlign w:val="bottom"/>
            <w:hideMark/>
          </w:tcPr>
          <w:p>
            <w:pPr>
              <w:rPr>
                <w:rFonts w:eastAsia="Times New Roman"/>
                <w:b/>
                <w:bCs/>
                <w:sz w:val="20"/>
                <w:szCs w:val="20"/>
              </w:rPr>
            </w:pPr>
            <w:r>
              <w:rPr>
                <w:rFonts w:eastAsia="Times New Roman"/>
                <w:b/>
                <w:bCs/>
                <w:sz w:val="20"/>
                <w:szCs w:val="20"/>
              </w:rPr>
              <w:t> </w:t>
            </w:r>
          </w:p>
        </w:tc>
        <w:tc>
          <w:tcPr>
            <w:tcW w:w="0" w:type="auto"/>
            <w:tcBorders>
              <w:bottom w:val="double" w:sz="6" w:space="0" w:color="000000"/>
            </w:tcBorders>
            <w:shd w:val="clear" w:color="auto" w:fill="CCEEFF"/>
            <w:vAlign w:val="bottom"/>
            <w:hideMark/>
          </w:tcPr>
          <w:p>
            <w:pPr>
              <w:jc w:val="right"/>
              <w:rPr>
                <w:rFonts w:eastAsia="Times New Roman"/>
                <w:b/>
                <w:bCs/>
                <w:sz w:val="20"/>
                <w:szCs w:val="20"/>
              </w:rPr>
            </w:pPr>
            <w:r>
              <w:rPr>
                <w:rFonts w:eastAsia="Times New Roman"/>
                <w:b/>
                <w:bCs/>
                <w:sz w:val="20"/>
                <w:szCs w:val="20"/>
              </w:rPr>
              <w:t>3.5</w:t>
            </w:r>
          </w:p>
        </w:tc>
        <w:tc>
          <w:tcPr>
            <w:tcW w:w="0" w:type="auto"/>
            <w:shd w:val="clear" w:color="auto" w:fill="CCEEFF"/>
            <w:tcMar>
              <w:top w:w="0" w:type="dxa"/>
              <w:left w:w="0" w:type="dxa"/>
              <w:bottom w:w="5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shd w:val="clear" w:color="auto" w:fill="CCEEFF"/>
            <w:tcMar>
              <w:top w:w="0" w:type="dxa"/>
              <w:left w:w="0" w:type="dxa"/>
              <w:bottom w:w="50" w:type="dxa"/>
              <w:right w:w="0" w:type="dxa"/>
            </w:tcMar>
            <w:vAlign w:val="bottom"/>
            <w:hideMark/>
          </w:tcPr>
          <w:p>
            <w:pPr>
              <w:rPr>
                <w:rFonts w:eastAsia="Times New Roman"/>
                <w:b/>
                <w:bCs/>
                <w:sz w:val="20"/>
                <w:szCs w:val="20"/>
              </w:rPr>
            </w:pPr>
            <w:r>
              <w:rPr>
                <w:rFonts w:eastAsia="Times New Roman"/>
                <w:b/>
                <w:bCs/>
                <w:sz w:val="20"/>
                <w:szCs w:val="20"/>
              </w:rPr>
              <w:t> </w:t>
            </w:r>
          </w:p>
        </w:tc>
        <w:tc>
          <w:tcPr>
            <w:tcW w:w="0" w:type="auto"/>
            <w:tcBorders>
              <w:bottom w:val="double" w:sz="6" w:space="0" w:color="000000"/>
            </w:tcBorders>
            <w:shd w:val="clear" w:color="auto" w:fill="CCEEFF"/>
            <w:vAlign w:val="bottom"/>
            <w:hideMark/>
          </w:tcPr>
          <w:p>
            <w:pPr>
              <w:rPr>
                <w:rFonts w:eastAsia="Times New Roman"/>
                <w:b/>
                <w:bCs/>
                <w:sz w:val="20"/>
                <w:szCs w:val="20"/>
              </w:rPr>
            </w:pPr>
            <w:r>
              <w:rPr>
                <w:rFonts w:eastAsia="Times New Roman"/>
                <w:b/>
                <w:bCs/>
                <w:sz w:val="20"/>
                <w:szCs w:val="20"/>
              </w:rPr>
              <w:t> </w:t>
            </w:r>
          </w:p>
        </w:tc>
        <w:tc>
          <w:tcPr>
            <w:tcW w:w="0" w:type="auto"/>
            <w:tcBorders>
              <w:bottom w:val="double" w:sz="6" w:space="0" w:color="000000"/>
            </w:tcBorders>
            <w:shd w:val="clear" w:color="auto" w:fill="CCEEFF"/>
            <w:vAlign w:val="bottom"/>
            <w:hideMark/>
          </w:tcPr>
          <w:p>
            <w:pPr>
              <w:jc w:val="right"/>
              <w:rPr>
                <w:rFonts w:eastAsia="Times New Roman"/>
                <w:b/>
                <w:bCs/>
                <w:sz w:val="20"/>
                <w:szCs w:val="20"/>
              </w:rPr>
            </w:pPr>
            <w:r>
              <w:rPr>
                <w:rFonts w:eastAsia="Times New Roman"/>
                <w:b/>
                <w:bCs/>
                <w:sz w:val="20"/>
                <w:szCs w:val="20"/>
              </w:rPr>
              <w:t>3.1</w:t>
            </w:r>
          </w:p>
        </w:tc>
        <w:tc>
          <w:tcPr>
            <w:tcW w:w="0" w:type="auto"/>
            <w:shd w:val="clear" w:color="auto" w:fill="CCEEFF"/>
            <w:tcMar>
              <w:top w:w="0" w:type="dxa"/>
              <w:left w:w="0" w:type="dxa"/>
              <w:bottom w:w="50" w:type="dxa"/>
              <w:right w:w="0" w:type="dxa"/>
            </w:tcMar>
            <w:vAlign w:val="bottom"/>
            <w:hideMark/>
          </w:tcPr>
          <w:p>
            <w:pPr>
              <w:rPr>
                <w:rFonts w:eastAsia="Times New Roman"/>
                <w:b/>
                <w:bCs/>
                <w:sz w:val="20"/>
                <w:szCs w:val="20"/>
              </w:rPr>
            </w:pPr>
            <w:r>
              <w:rPr>
                <w:rFonts w:eastAsia="Times New Roman"/>
                <w:b/>
                <w:bCs/>
                <w:sz w:val="20"/>
                <w:szCs w:val="20"/>
              </w:rPr>
              <w:t> </w:t>
            </w:r>
          </w:p>
        </w:tc>
      </w:tr>
    </w:tbl>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The Company believes Adjusted EBITDA and Adjusted EBIT provide useful information regarding the Company’s financial and operating performance. Adjusted EBITDA and Adjusted EBIT are not U.S. GAAP measures. You should not construe Adjusted EBITDA and Adjusted EBIT as alternatives to operating profit or cash flows from operating activities determined in accordance with U.S. GAAP or as a measure of liquidity. Adjusted EBITDA and Adjusted EBIT are not defined in the same manner by all companies and may not be comparable to other similarly titled measures of other companies.</w:t>
      </w:r>
    </w:p>
    <w:p>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3327"/>
        <w:gridCol w:w="3427"/>
        <w:gridCol w:w="3326"/>
      </w:tblGrid>
      <w:tr>
        <w:trPr>
          <w:divId w:val="859512893"/>
        </w:trPr>
        <w:tc>
          <w:tcPr>
            <w:tcW w:w="1650" w:type="pct"/>
            <w:hideMark/>
          </w:tcPr>
          <w:p>
            <w:pPr>
              <w:rPr>
                <w:rFonts w:eastAsia="Times New Roman"/>
                <w:sz w:val="20"/>
                <w:szCs w:val="20"/>
              </w:rPr>
            </w:pPr>
            <w:r>
              <w:rPr>
                <w:rFonts w:eastAsia="Times New Roman"/>
                <w:sz w:val="20"/>
                <w:szCs w:val="20"/>
              </w:rPr>
              <w:t> </w:t>
            </w:r>
          </w:p>
        </w:tc>
        <w:tc>
          <w:tcPr>
            <w:tcW w:w="1700" w:type="pct"/>
            <w:hideMark/>
          </w:tcPr>
          <w:p>
            <w:pPr>
              <w:rPr>
                <w:rFonts w:eastAsia="Times New Roman"/>
                <w:sz w:val="20"/>
                <w:szCs w:val="20"/>
              </w:rPr>
            </w:pPr>
            <w:r>
              <w:rPr>
                <w:rFonts w:eastAsia="Times New Roman"/>
                <w:sz w:val="20"/>
                <w:szCs w:val="20"/>
              </w:rPr>
              <w:t> </w:t>
            </w:r>
          </w:p>
        </w:tc>
        <w:tc>
          <w:tcPr>
            <w:tcW w:w="1650" w:type="pct"/>
            <w:hideMark/>
          </w:tcPr>
          <w:p>
            <w:pPr>
              <w:rPr>
                <w:rFonts w:eastAsia="Times New Roman"/>
                <w:sz w:val="20"/>
                <w:szCs w:val="20"/>
              </w:rPr>
            </w:pPr>
            <w:r>
              <w:rPr>
                <w:rFonts w:eastAsia="Times New Roman"/>
                <w:sz w:val="20"/>
                <w:szCs w:val="20"/>
              </w:rPr>
              <w:t> </w:t>
            </w:r>
          </w:p>
        </w:tc>
      </w:tr>
    </w:tbl>
    <w:p>
      <w:pPr>
        <w:pStyle w:val="NormalWeb"/>
        <w:pageBreakBefore/>
        <w:spacing w:before="0" w:beforeAutospacing="0" w:after="0" w:afterAutospacing="0"/>
        <w:divId w:val="1608541064"/>
        <w:rPr>
          <w:sz w:val="20"/>
          <w:szCs w:val="20"/>
        </w:rPr>
      </w:pPr>
      <w:r>
        <w:rPr>
          <w:sz w:val="20"/>
          <w:szCs w:val="20"/>
        </w:rPr>
        <w:lastRenderedPageBreak/>
        <w:t> </w:t>
      </w:r>
    </w:p>
    <w:p>
      <w:pPr>
        <w:pStyle w:val="NormalWeb"/>
        <w:spacing w:before="0" w:beforeAutospacing="0" w:after="0" w:afterAutospacing="0"/>
        <w:divId w:val="14423596"/>
        <w:rPr>
          <w:sz w:val="20"/>
          <w:szCs w:val="20"/>
        </w:rPr>
      </w:pP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noProof/>
          <w:sz w:val="20"/>
          <w:szCs w:val="20"/>
        </w:rPr>
        <w:drawing>
          <wp:inline distT="0" distB="0" distL="0" distR="0">
            <wp:extent cx="1885950" cy="885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85950" cy="885825"/>
                    </a:xfrm>
                    <a:prstGeom prst="rect">
                      <a:avLst/>
                    </a:prstGeom>
                    <a:noFill/>
                    <a:ln>
                      <a:noFill/>
                    </a:ln>
                  </pic:spPr>
                </pic:pic>
              </a:graphicData>
            </a:graphic>
          </wp:inline>
        </w:drawing>
      </w:r>
      <w:r>
        <w:rPr>
          <w:sz w:val="20"/>
          <w:szCs w:val="20"/>
        </w:rPr>
        <w:t> </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rPr>
          <w:sz w:val="20"/>
          <w:szCs w:val="20"/>
        </w:rPr>
      </w:pPr>
      <w:r>
        <w:rPr>
          <w:b/>
          <w:bCs/>
          <w:sz w:val="20"/>
          <w:szCs w:val="20"/>
        </w:rPr>
        <w:t>Forward Looking Statements:</w:t>
      </w:r>
    </w:p>
    <w:p>
      <w:pPr>
        <w:pStyle w:val="NormalWeb"/>
        <w:spacing w:before="0" w:beforeAutospacing="0" w:after="0" w:afterAutospacing="0"/>
        <w:rPr>
          <w:sz w:val="20"/>
          <w:szCs w:val="20"/>
        </w:rPr>
      </w:pPr>
      <w:r>
        <w:rPr>
          <w:sz w:val="20"/>
          <w:szCs w:val="20"/>
        </w:rPr>
        <w:t> </w:t>
      </w:r>
    </w:p>
    <w:p>
      <w:pPr>
        <w:pStyle w:val="NormalWeb"/>
        <w:spacing w:before="0" w:beforeAutospacing="0" w:after="0" w:afterAutospacing="0"/>
        <w:jc w:val="both"/>
        <w:rPr>
          <w:sz w:val="20"/>
          <w:szCs w:val="20"/>
        </w:rPr>
      </w:pPr>
      <w:r>
        <w:rPr>
          <w:sz w:val="20"/>
          <w:szCs w:val="20"/>
        </w:rPr>
        <w:t>This announcement contains “forward-looking statements” within the meaning of the U.S. Private Securities Litigation Reform Act of 1995, specifically Section 27A of the U.S. Securities Act of 1933, as amended, and Section 21E of the U.S. Securities Exchange Act of 1934, as amended. All statements, other than statements of historical facts, are forward-looking statements, including, the Company’s anticipation with respect to changes in its results of operations from prior periods. Readers are cautioned that forward-looking statements are not guarantees of future performance and involve known and unknown risks, uncertainties and other factors that could cause actual results to differ materially from historical results or any future results expressed or implied by forward-looking statements. Factors that can cause actual results to differ from expectations and those contained in forward-looking statements include those risks described in Item 3.D. “Key Information—Risk Factors” contained in the Company’s Registration Statement on Form 20-F filed with the U.S. Securities Exchange Commission (the “SEC”) on March 28, 2023 and in its subsequent filings and submissions with the SEC, including, but not limited to, the Company’s ability to operate and comply with the complex and evolving regulations in the highly regulated healthcare industry; the continued development, consumer acceptance and market adoption of the Company’s products and services in the relatively new, unproven and volatile and rapidly changing telehealth market; the Company’s ability to develop and introduce new products and solutions and enhancements to existing ones; the significant and increasing levels of competition in the telemedicine market; the impacts of COVID-19 and future pandemics and epidemics; the Company’s ability to continue to attract and retain key employees and personal in the highly competitive healthcare industry; the loss or breach of the Company’s proprietary rights and data security and privacy risks; political, judicial, legal, economic and military conditions in Israel and the surrounding region; global economic and financial market conditions and the Company’s ability to adapt to and comply with the different business and market factors, conditions, requirements and laws and regulations in the various countries in which the Company operates internationally; currency fluctuations; labor disputes; the Company’s ability to manage growth and integrate acquired businesses and expanding operations; the Company’s ability to obtain adequate levels of insurance to cover potential losses; the Company’s dependence on key suppliers and sub-contractors and other third parties; and other matters and risks not yet known to the Company or not currently considered material by it. You should not place undue reliance on these forward-looking statements. All written and oral forward-looking statements, attributable to the Company, or persons acting on its behalf, are qualified in their entirety by these cautionary statements. Unless required by law, the Company undertakes no obligation to publicly update or revise any forward-looking statements.</w:t>
      </w:r>
    </w:p>
    <w:p>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3327"/>
        <w:gridCol w:w="3427"/>
        <w:gridCol w:w="3326"/>
      </w:tblGrid>
      <w:tr>
        <w:trPr>
          <w:divId w:val="712584388"/>
        </w:trPr>
        <w:tc>
          <w:tcPr>
            <w:tcW w:w="1650" w:type="pct"/>
            <w:hideMark/>
          </w:tcPr>
          <w:p>
            <w:pPr>
              <w:rPr>
                <w:rFonts w:eastAsia="Times New Roman"/>
                <w:sz w:val="20"/>
                <w:szCs w:val="20"/>
              </w:rPr>
            </w:pPr>
            <w:r>
              <w:rPr>
                <w:rFonts w:eastAsia="Times New Roman"/>
                <w:sz w:val="20"/>
                <w:szCs w:val="20"/>
              </w:rPr>
              <w:t> </w:t>
            </w:r>
          </w:p>
        </w:tc>
        <w:tc>
          <w:tcPr>
            <w:tcW w:w="1700" w:type="pct"/>
            <w:hideMark/>
          </w:tcPr>
          <w:p>
            <w:pPr>
              <w:rPr>
                <w:rFonts w:eastAsia="Times New Roman"/>
                <w:sz w:val="20"/>
                <w:szCs w:val="20"/>
              </w:rPr>
            </w:pPr>
            <w:r>
              <w:rPr>
                <w:rFonts w:eastAsia="Times New Roman"/>
                <w:sz w:val="20"/>
                <w:szCs w:val="20"/>
              </w:rPr>
              <w:t> </w:t>
            </w:r>
          </w:p>
        </w:tc>
        <w:tc>
          <w:tcPr>
            <w:tcW w:w="1650" w:type="pct"/>
            <w:hideMark/>
          </w:tcPr>
          <w:p>
            <w:pPr>
              <w:rPr>
                <w:rFonts w:eastAsia="Times New Roman"/>
                <w:sz w:val="20"/>
                <w:szCs w:val="20"/>
              </w:rPr>
            </w:pPr>
            <w:r>
              <w:rPr>
                <w:rFonts w:eastAsia="Times New Roman"/>
                <w:sz w:val="20"/>
                <w:szCs w:val="20"/>
              </w:rPr>
              <w:t> </w:t>
            </w:r>
          </w:p>
        </w:tc>
      </w:tr>
    </w:tbl>
    <w:p>
      <w:pPr>
        <w:pStyle w:val="NormalWeb"/>
        <w:spacing w:before="0" w:beforeAutospacing="0" w:after="0" w:afterAutospacing="0"/>
        <w:rPr>
          <w:sz w:val="20"/>
          <w:szCs w:val="20"/>
        </w:rPr>
      </w:pPr>
      <w:r>
        <w:rPr>
          <w:sz w:val="20"/>
          <w:szCs w:val="20"/>
        </w:rPr>
        <w:t> </w:t>
      </w:r>
    </w:p>
    <w:p>
      <w:pPr>
        <w:pStyle w:val="NormalWeb"/>
        <w:pageBreakBefore/>
        <w:spacing w:before="0" w:beforeAutospacing="0" w:after="0" w:afterAutospacing="0"/>
        <w:divId w:val="11036093"/>
        <w:rPr>
          <w:sz w:val="20"/>
          <w:szCs w:val="20"/>
        </w:rPr>
      </w:pPr>
      <w:r>
        <w:rPr>
          <w:sz w:val="20"/>
          <w:szCs w:val="20"/>
        </w:rPr>
        <w:lastRenderedPageBreak/>
        <w:t> </w:t>
      </w:r>
    </w:p>
    <w:p>
      <w:pPr>
        <w:jc w:val="right"/>
        <w:divId w:val="189418525"/>
        <w:rPr>
          <w:rFonts w:eastAsia="Times New Roman"/>
          <w:b/>
          <w:bCs/>
          <w:sz w:val="20"/>
          <w:szCs w:val="20"/>
        </w:rPr>
      </w:pPr>
      <w:r>
        <w:rPr>
          <w:rFonts w:eastAsia="Times New Roman"/>
          <w:b/>
          <w:bCs/>
          <w:sz w:val="20"/>
          <w:szCs w:val="20"/>
        </w:rPr>
        <w:t>Exhibit 99.2</w:t>
      </w:r>
    </w:p>
    <w:p>
      <w:pPr>
        <w:jc w:val="right"/>
        <w:divId w:val="189418525"/>
        <w:rPr>
          <w:rFonts w:eastAsia="Times New Roman"/>
          <w:b/>
          <w:bCs/>
          <w:sz w:val="20"/>
          <w:szCs w:val="20"/>
        </w:rPr>
      </w:pPr>
      <w:r>
        <w:rPr>
          <w:rFonts w:eastAsia="Times New Roman"/>
          <w:b/>
          <w:bCs/>
          <w:sz w:val="20"/>
          <w:szCs w:val="20"/>
        </w:rPr>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8" name="Picture 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SHL Telemedicine HY Results 2023 Presentation 1</w:t>
            </w:r>
          </w:p>
        </w:tc>
      </w:tr>
    </w:tbl>
    <w:p>
      <w:pPr>
        <w:pStyle w:val="NormalWeb"/>
        <w:pageBreakBefore/>
        <w:spacing w:before="0" w:beforeAutospacing="0" w:after="0" w:afterAutospacing="0"/>
        <w:jc w:val="center"/>
        <w:divId w:val="1007901614"/>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9" name="Picture 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Forward looking statements 2 This presentation was prepared for the purpose of providing and presenting information in a summary only and cannot replace a review of the reports of SHL Telemedicine (hereinafter: "the Company"). Many of the statements included in this presentation, as well as oral statements that may be made by us or by officers, directors or employees acting on behalf of us, contain “forward-looking statements” within the meaning of the U.S. Private Securities Litigation Reform Act of 1995, specifically Section 27A of the U.S. Securities Act of 1933, as amended, and Section 21E of the U.S. Securities Exchange Act of 1934, as amended. All statements, other than statements of historical facts, are forward-looking statements. Readers are cautioned that forward-looking statements are not guarantees of future performance and involve known and unknown risks, uncertainties and other factors that could cause actual results to differ materially from historical results or any future results expressed or implied by forward-looking statements. Factors that can cause actual results to differ from expectations and those contained in forward-looking statements include those risks described in Item 3.D. “Key Information—Risk Factors” contained in the Company’s Registration Statement on Form 20-F or most recent Annual Report on Form 20-F filed with the U.S. Securities Exchange Commission (the “SEC”) and in its subsequent filings and submissions with the SEC, including, but not limited to, the Company’s ability to operate and comply with the complex and evolving regulations in the highly regulated healthcare industry; continued development, consumer acceptance and market adoption in the relatively new, unproven and volatile and rapidly changing telehealth market; the Company’s ability to develop and introduce new products and solutions and enhancements to existing ones; the significant and increasing levels of competition in the telemedicine market; the impacts of COVID-19 and future pandemics and epidemics; the Company’s ability to continue to attract and retain key employees and personal in the highly competitive healthcare industry; the loss or breach of the Company’s proprietary rights and data security and privacy risks; political, judicial, legal, economic and military conditions in Israel and the surrounding region; global economic and financial market conditions and the Company’s ability to adapt to and comply with the different business and market factors, conditions, requirements and laws and regulations in the various countries in which the Company operates internationally; currency fluctuations; labor disputes; the Company’s ability to manage growth and integrate acquired businesses and expanding operations; the Company’s ability to obtain adequate levels of insurance to cover potential losses; the Company’s dependence on key suppliers and sub-contractors and other third parties; and other matters and risks not yet known to the Company or not currently considered material by it. You should not place undue reliance on these forward-looking statements. All written and oral forward-looking statements, attributable to the Company, or persons acting on its behalf, are qualified in their entirety by these cautionary statements. For the avoidance of doubt, it is clarified that the company does not undertake to update the information, in whole or in part, contained in this presentation, whether as a result of new information, a future event or for other reasons, except as required by law. It is also clarified that the company's plans and strategy contained in this presentation are correct at the time of their publication and can and will change in accordance with the decisions of the company's board of directors, as they will be from time to time, and/or due to their being dependent, in whole or in part, on third parties that are not under the control of the company as well as on additional risk factors to which the company is exposed . This presentation contains trade names, trademarks and service marks of other companies. The trade names, trademarks, and service marks of other parties are not used or displayed to imply a relationship with, or endorsement or sponsorship of, those other parties.</w:t>
            </w:r>
          </w:p>
        </w:tc>
      </w:tr>
    </w:tbl>
    <w:p>
      <w:pPr>
        <w:pStyle w:val="NormalWeb"/>
        <w:pageBreakBefore/>
        <w:spacing w:before="0" w:beforeAutospacing="0" w:after="0" w:afterAutospacing="0"/>
        <w:jc w:val="center"/>
        <w:divId w:val="1134638957"/>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10" name="Picture 1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SHL Telemedicine at a glance 3 Nasdaq: SHLT SWX: SHLTN Listed on $29.0M 1HY 2023 revenues 30+ years of experience SHL is a leading provider and developer of advanced telehealth technology and services with unmatched 30 years of medical &amp; ECG data-base 24/7 telehealth monitoring global service capabilities interactions and data readings per year 3M Telemedicine centers in Israel &amp; Germany Significant strategic partners in the US market</w:t>
            </w:r>
          </w:p>
        </w:tc>
      </w:tr>
    </w:tbl>
    <w:p>
      <w:pPr>
        <w:pStyle w:val="NormalWeb"/>
        <w:pageBreakBefore/>
        <w:spacing w:before="0" w:beforeAutospacing="0" w:after="0" w:afterAutospacing="0"/>
        <w:jc w:val="center"/>
        <w:divId w:val="1777602215"/>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11" name="Picture 1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R&amp;D Gross Expenses $3.6M REVENUES Operational CASH Flow $29.0M Adjusted EBITDA(*) $ 0.4M CASH On Hand ~$28.6M Currently CASH On HAND $29.4M 30 June 2023 (*) Please see Supplemental Information at end of presentation for a reconciliation of Adjusted EBITDA and Adjusted EBIT to net profit as required by the rules of the U.S. Securities Exchange Commission with respect to non-GAAP financial measures HY 2023 Overview Financial Data(*) 4 $ (3.3)M</w:t>
            </w:r>
          </w:p>
        </w:tc>
      </w:tr>
    </w:tbl>
    <w:p>
      <w:pPr>
        <w:pStyle w:val="NormalWeb"/>
        <w:pageBreakBefore/>
        <w:spacing w:before="0" w:beforeAutospacing="0" w:after="0" w:afterAutospacing="0"/>
        <w:jc w:val="center"/>
        <w:divId w:val="955450973"/>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12" name="Picture 1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Germany: A promising new growth engine 5 Remote medical services such as: Virtual Visit and Monitoring of chronic patients, are becoming the Standard of Care The company has agreements with leading health insurers, covering about 30% of the German health insurance market (about 25 million insured) SHL is the market leader in Germany and operates in a B2B model - managing and stabilizing chronic patients and saving costs for health insurers 1HY2022 2HY2022 1HY2023 REVENUES $6.8M Adjusted EBITDA(**) $(1.2)M REVENUES(*) $6.7M Adjusted EBITDA(**) $(0.3)M REVENUES(*) $7.0M Adjusted EBITDA(**) $(0.1)M (*) compared to 1HY 2022 in constant currency, Please see Supplemental Information at end of presentation for a description of the basis of presentation of the constant currency amount calculations as required by the rules of the U.S. Securities Exchange Commission with respect to non-GAAP financial measures (**) Please see Supplemental Information at end of presentation for a reconciliation of Adjusted EBITDA and Adjusted EBIT to net profit as required by the rules of the U.S. Securities Exchange Commission with respect to non-GAAP financial measures</w:t>
            </w:r>
          </w:p>
        </w:tc>
      </w:tr>
    </w:tbl>
    <w:p>
      <w:pPr>
        <w:pStyle w:val="NormalWeb"/>
        <w:pageBreakBefore/>
        <w:spacing w:before="0" w:beforeAutospacing="0" w:after="0" w:afterAutospacing="0"/>
        <w:jc w:val="center"/>
        <w:divId w:val="923343364"/>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13" name="Picture 1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 xml:space="preserve">Germany - Virtual Visit service: 6 Penetrating a market of about 800 million annual physical doctor visits (*) https://www.statista.com/statistics/236512/annual-doctor-visits-per-capita-in-germany-since-1991/ The virtual visit service is already available to 12.4 million BARMER and AOK PLUS insureds throughout Germany Successfully fending major players like Teladoc, and a path for growth of this activity, including with additional health insurances BARMER - a new 7-year contract Commercial service started April 2023 In Germany - an average of 10 physical visits per person to a doctor each year (*) Consistent growth use of Virtual Visit Pay Per Use model </w:t>
            </w:r>
          </w:p>
        </w:tc>
      </w:tr>
    </w:tbl>
    <w:p>
      <w:pPr>
        <w:pStyle w:val="NormalWeb"/>
        <w:pageBreakBefore/>
        <w:spacing w:before="0" w:beforeAutospacing="0" w:after="0" w:afterAutospacing="0"/>
        <w:jc w:val="center"/>
        <w:divId w:val="646478270"/>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14" name="Picture 1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 xml:space="preserve">ECG repository Cloud based 24/7 ECG review center 24/7 USA cardiologist network Provider portal USA 7 Prioritization of direct-to-consumer sales in 2HY 2023- considering hospitals’ financial strains; Awaiting Mayo Clinic study results Increase in uses of the SmartHeart platform DTC plan: more cash-efficient and carries significant strategic value (*) Please see Supplemental Information at end of presentation for a reconciliation of Adjusted EBITDA and Adjusted EBIT to net profit as required by the rules of the U.S. Securities Exchange Commission with respect to non-GAAP financial measures REVENUES $0.6M Adjusted EBITDA(*) $(1.5)M Tier1 Strategic customers relationships strengthen our reputation in support of the SmartHeart® direct-to-consumer move Leveraging the network of cardiologists that is already set up across the US Already FDA cleared 510(k) process for OTC clearance </w:t>
            </w:r>
          </w:p>
        </w:tc>
      </w:tr>
    </w:tbl>
    <w:p>
      <w:pPr>
        <w:pStyle w:val="NormalWeb"/>
        <w:pageBreakBefore/>
        <w:spacing w:before="0" w:beforeAutospacing="0" w:after="0" w:afterAutospacing="0"/>
        <w:jc w:val="center"/>
        <w:divId w:val="653217982"/>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15" name="Picture 1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USA 8 Promising Initial Results(*) in Mayo Clinic and Imperial College Trials (*) Presentations at the Imperial Vulnerable Plaque and Patient Meeting 2023 (VPM) Mayo Clinic – HELP MI Reduction in “any ED Hospitalization” Reduction in “any ED visit” CV ED visit or Hospitalization Telemedicine group compliant users vs. control group 43% ZERO 33% Imperial College London - TELE-ACS Reduction in hospital readmission Reduction in ED attendance Telemedicine group vs. control standard care group at 3 months follow-up 55% 27.5%</w:t>
            </w:r>
          </w:p>
        </w:tc>
      </w:tr>
    </w:tbl>
    <w:p>
      <w:pPr>
        <w:pStyle w:val="NormalWeb"/>
        <w:pageBreakBefore/>
        <w:spacing w:before="0" w:beforeAutospacing="0" w:after="0" w:afterAutospacing="0"/>
        <w:jc w:val="center"/>
        <w:divId w:val="734821784"/>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16" name="Picture 1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Israel 9 High contribution to the company's profitability and cash flow The leader in B2C Telemedicine Services B2B advanced Medical Services Sale of cardiac monitoring services to consumers: personal 12 Lead ECG devices for transmission of remote medical data, 24/7 telemedicine center, Mobile Intensive Care Units in coverage areas. Over 100 institutional customers - Mediton Group is a leading B2B healthcare services provider in Israel to the largest and leading companies in Israel, government institutions, the Ministry of Defense, National Insurance, health funds and insurance companies (*) compared to 1HY 2022 in constant currency, Please see Supplemental Information at end of presentation for a description of the basis of presentation of the constant currency amount calculations as required by the rules of the U.S. Securities Exchange Commission with respect to non-GAAP financial measures (**) Please see Supplemental Information at end of presentation for a reconciliation of Adjusted EBITDA and Adjusted EBIT to net profit as required by the rules of the U.S. Securities Exchange Commission with respect to non-GAAP financial measures Telemedicine Center 4 advanced Medical Centers Network pf 500+ specialist doctors Customer Service Center Mobile Intensive Care Units with extensive coverage areas 1HY2022 2HY2022 1HY2023 REVENUES $21.6M Adjusted EBITDA(**) $5.7M REVENUES(*) $21.2M Adjusted EBITDA(*)(**) $5.7M REVENUES(*) $21.0M Adjusted EBITDA(*)(**) $6.1M</w:t>
            </w:r>
          </w:p>
        </w:tc>
      </w:tr>
    </w:tbl>
    <w:p>
      <w:pPr>
        <w:pStyle w:val="NormalWeb"/>
        <w:pageBreakBefore/>
        <w:spacing w:before="0" w:beforeAutospacing="0" w:after="0" w:afterAutospacing="0"/>
        <w:jc w:val="center"/>
        <w:divId w:val="1726760448"/>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17" name="Picture 1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Financials – P&amp;L 10 (*) compared to HY 2022 in constant currency, Please see Supplemental Information at end of presentation for a description of the basis of presentation of the constant currency amount calculations as required by the rules of the U.S. Securities Exchange Commission with respect to non-GAAP financial measures (**) Please see Supplemental Information at end of presentation for a reconciliation of Adjusted EBITDA and Adjusted EBIT to net profit as required by the rules of the U.S. Securities Exchange Commission with respect to non-GAAP financial measures In USD million (except per share amounts) 1HY 2023 1HY 2022cc* Revenues for the period 29.0 28.8 Revenues by territories Germany 6.8 7.0 Israel 21.6 21.0 Rest of the World 0.6 0.8 Adjusted EBIT(**) (3.1) (0.1) Adjusted EBITDA(**) 0.4 3.1 Net loss (2.1) (0.1) EPS (Basic) attribute to equity holders (0.14) 0.00 27,000 27,500 28,000 28,500 29,000 29,500 30,000 HY-2022 HY-2023 Revenue 2,000 2,500 3,000 3,500 4,000 HY-2022 HY 2023 R&amp;D Gross exp - 1,000 2,000 3,000 4,000 HY-2022 HY 2023 Adjusted EBITDA(**)</w:t>
            </w:r>
          </w:p>
        </w:tc>
      </w:tr>
    </w:tbl>
    <w:p>
      <w:pPr>
        <w:pStyle w:val="NormalWeb"/>
        <w:pageBreakBefore/>
        <w:spacing w:before="0" w:beforeAutospacing="0" w:after="0" w:afterAutospacing="0"/>
        <w:jc w:val="center"/>
        <w:divId w:val="37900655"/>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18" name="Picture 1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Financials – Balance sheet &amp; Cash flow 11 In USD million 1HY 2023 1HY 2022 Cash and cash equivalents 10.4 16.4 Short term investments 19.0 8.7 Total cash and short-term investments 29.4 25.1 Short term bank debt 2.1 2.2 Long term bank debt 11.3 14.2 Total bank debt 13.4 16.4 Capital and reserves 151.8 125.0 Accumulated deficit (75.3) (73.0) Total Equity 76.5 52.0 Increase (Decrease) in cash and short-term investments 10.7 (6.9) Operational cash flow (3.3) 1.7 100 110 120 130 HY-2022 HY 2023 Total Assets</w:t>
            </w:r>
          </w:p>
        </w:tc>
      </w:tr>
    </w:tbl>
    <w:p>
      <w:pPr>
        <w:pStyle w:val="NormalWeb"/>
        <w:pageBreakBefore/>
        <w:spacing w:before="0" w:beforeAutospacing="0" w:after="0" w:afterAutospacing="0"/>
        <w:jc w:val="center"/>
        <w:divId w:val="804659753"/>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19" name="Picture 1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2HY 2023 – Expected Events 12 Constant increase in the use of Virtual Visits Agreements with additional health funds for Virtual Visit services With our B2B model – Tier 1 customers Start of B2C sales Publication of results study for use of Continued implementation of Increased growth</w:t>
            </w:r>
          </w:p>
        </w:tc>
      </w:tr>
    </w:tbl>
    <w:p>
      <w:pPr>
        <w:pStyle w:val="NormalWeb"/>
        <w:pageBreakBefore/>
        <w:spacing w:before="0" w:beforeAutospacing="0" w:after="0" w:afterAutospacing="0"/>
        <w:jc w:val="center"/>
        <w:divId w:val="37093936"/>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20" name="Picture 2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IC"/>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Thank You SHL Telemedicine 13</w:t>
            </w:r>
          </w:p>
        </w:tc>
      </w:tr>
    </w:tbl>
    <w:p>
      <w:pPr>
        <w:pStyle w:val="NormalWeb"/>
        <w:pageBreakBefore/>
        <w:spacing w:before="0" w:beforeAutospacing="0" w:after="0" w:afterAutospacing="0"/>
        <w:jc w:val="center"/>
        <w:divId w:val="1961718747"/>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21" name="Picture 2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Supplement Information 14 **Adjusted EBIT: Please see the Adjusted EBITDA and Adjusted EBIT Table below. ***Adjusted EBITDA: Please see the Adjusted EBITDA and Adjusted EBIT Table below In the table below, HY 2022 results have been presented at HY 2023 exchange rates1 . Management believes that this presentation enables a more meaningful comparison between the periods due to the significant fluctuations in NIS/USD/EUR exchange rates during the period. Adjusted key figures (in constant currency1 ) in USD million 1HY2023 1HY2022 % change Revenues 29.0 28.8 1 Revenues Germany Israel Rest of the World 6.8 7.0 (4) 21.6 21.0 3 0.6 0.8 (25) Adjusted EBIT** (3.1) (0.1) Adjusted EBITDA *** 0.4 3.1 Key figures (as reported): in USD million (except per share amounts) 1HY 2023 1HY 2022 % change Revenues for the period 29.0 30.9 (6) Revenues Revenues Germany Israel Rest of the World 6.8 7.1 (4) 21.6 23.0 (6) 0.6 0.8 (25) EBIT (4.4) (1.0) EBITDA (0.9) 2.4 Net profit (loss) (2.1) 0.1 EPS (Basic loss) (0.14) 0.00 Operating cash flow (3.3) 1.7 Reconciliation of Adjusted EBITDA and Adjusted EBIT to net profit as required by the rules of the U.S. Securities Exchange Commission with respect to non-GAAP financial measures</w:t>
            </w:r>
          </w:p>
        </w:tc>
      </w:tr>
    </w:tbl>
    <w:p>
      <w:pPr>
        <w:pStyle w:val="NormalWeb"/>
        <w:pageBreakBefore/>
        <w:spacing w:before="0" w:beforeAutospacing="0" w:after="0" w:afterAutospacing="0"/>
        <w:jc w:val="center"/>
        <w:divId w:val="921372518"/>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8941852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3209925"/>
                  <wp:effectExtent l="0" t="0" r="0" b="9525"/>
                  <wp:docPr id="22" name="Picture 2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PHIC"/>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Supplement Information 15 (1) Constant currency – to enable meaningful comparison between 1HY2023 and 1HY2022 results, 1HY2022 results are also presented at 1HY2023 exchange rates which are calculated as annual average based on the average monthly exchange rates of each of the USD and the EUR versus the NIS, as published by the Bank of Israel. The management believes that this presentation enables a more meaningful comparison between the periods due to the significant fluctuations in NIS/USD/EUR exchange rates during the period. Reconciliation of Adjusted EBITDA and Adjusted EBIT to net profit as required by the rules of the U.S. Securities Exchange Commission with respect to non-GAAP financial measures (HY2022 results are presented also in HY2023 exchange rates1 ) The Company believes Adjusted EBITDA and Adjusted EBIT provide useful information regarding the Company’s financial and operating performance. Adjusted EBITDA and Adjusted EBIT are not IFRS or U.S. GAAP measures. You should not construe Adjusted EBITDA and Adjusted EBIT as alternatives to operating profit or cash flows from operating activities determined in accordance with IFRS or U.S. GAAP or as a measure of liquidity. Adjusted EBITDA and Adjusted EBIT are not defined in the same manner by all companies and may not be comparable to other similarly titled measures of other companies in USD million 1HY2023 1HY2022 1HY2022 (CC1 ) Net profit (loss) (2.1) 0.1 (0.1) Financial income net (3.0) (1.3) (1.2) Tax expenses 0.7 0.2 0.2 Depreciation and amortization expenses 3.5 3.4 3.2 EBITDA (0.9) 2.4 2.1 Share-based compensation 0.8 1.0 0.9 Non- recurring expenses 0.5 0.1 0.1 Adjusted EBITDA 0.4 3.5 3.1</w:t>
            </w:r>
          </w:p>
        </w:tc>
      </w:tr>
    </w:tbl>
    <w:p>
      <w:pPr>
        <w:pStyle w:val="NormalWeb"/>
        <w:pageBreakBefore/>
        <w:spacing w:before="0" w:beforeAutospacing="0" w:after="0" w:afterAutospacing="0"/>
        <w:jc w:val="center"/>
        <w:divId w:val="1646084868"/>
        <w:rPr>
          <w:sz w:val="20"/>
          <w:szCs w:val="20"/>
        </w:rPr>
      </w:pPr>
      <w:r>
        <w:rPr>
          <w:sz w:val="20"/>
          <w:szCs w:val="20"/>
        </w:rPr>
        <w:lastRenderedPageBreak/>
        <w:t> </w:t>
      </w:r>
    </w:p>
    <w:p>
      <w:pPr>
        <w:pStyle w:val="NormalWeb"/>
        <w:pageBreakBefore/>
        <w:spacing w:before="0" w:beforeAutospacing="0" w:after="0" w:afterAutospacing="0"/>
        <w:divId w:val="386805217"/>
        <w:rPr>
          <w:sz w:val="20"/>
          <w:szCs w:val="20"/>
        </w:rPr>
      </w:pPr>
      <w:r>
        <w:rPr>
          <w:sz w:val="20"/>
          <w:szCs w:val="20"/>
        </w:rPr>
        <w:lastRenderedPageBreak/>
        <w:t> </w:t>
      </w:r>
    </w:p>
    <w:p>
      <w:pPr>
        <w:jc w:val="right"/>
        <w:divId w:val="1237128075"/>
        <w:rPr>
          <w:rFonts w:eastAsia="Times New Roman"/>
          <w:b/>
          <w:bCs/>
          <w:sz w:val="20"/>
          <w:szCs w:val="20"/>
        </w:rPr>
      </w:pPr>
      <w:r>
        <w:rPr>
          <w:rFonts w:eastAsia="Times New Roman"/>
          <w:b/>
          <w:bCs/>
          <w:sz w:val="20"/>
          <w:szCs w:val="20"/>
        </w:rPr>
        <w:t>Exhibit 99.3</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23" name="Picture 2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Half Year Report 2023</w:t>
            </w:r>
          </w:p>
        </w:tc>
      </w:tr>
    </w:tbl>
    <w:p>
      <w:pPr>
        <w:pStyle w:val="NormalWeb"/>
        <w:pageBreakBefore/>
        <w:spacing w:before="0" w:beforeAutospacing="0" w:after="0" w:afterAutospacing="0"/>
        <w:jc w:val="center"/>
        <w:divId w:val="574827966"/>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24" name="Picture 2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2 SHL Telemedicine Ltd. 1 January - 30 June, 2023 Letter to Shareholders Dear Shareholders Looking at the first half of 2023, we maintained stable revenues while making significant strategic advancements across all operations, while maintaining a robust cash position, despite challenging market conditions and shifts in the financial markets. The prevailing macro challenges in the healthcare industry underscore the growing demand for telemedicine technology and services. Our solutions not only enhance access and care outcomes but also reduce costs for our customers. With a robust foundation in Israel, promising infrastructure in Germany, and key collaborations in the US with Tier 1 customers including CVS, Henry Schein and Mayo Clinic, our financial position remains strong. We are steadfast in our balanced growth strategy. During the period, the company commenced trading of the Nasdaq® and the Company’s American Depositary Shares (“ADRs”), trade on Nasdaq® (symbol “SHLT”), in parallel to the company’s ordinary shares continuing to be listed on the Swiss Stock Exchange. Overall, revenues for the period were USD 29.0 million, a slight increase compared to USD 28.8 million observed in the first half of 2022 when adjusted for constant currency. Adjusted EBITDA1 for the period was USD 0.4 million, a decrease compared to USD 3.1 million in the first half of 2022 when adjusted for constant currency, and similar compared to USD 0.6 million in the second half of 2022 when adjusted for constant currency. The decrease is mainly related to increased investment in Germany and the USA as well as Nasdaq listing expenses. This resulted in a negative operating cash flow of USD 3.3 million, compared to positive operating cash flow of USD 1.7 million in the first half of 2022. Net loss for the period was USD 2.1 million, compared to a small net loss of USD 0.1 million in the first half of 2022 when adjusted for constant currency. Germany Revenues were USD 6.8 million, slightly down from USD 7.0 million in the first half of 2022 when adjusted for constant currency, but up from USD 6.7 million in the second half of 2022 in constant currency. The commercial service of the Virtual Visits to the BARMER insureds across Germany started during April 2023. Barmer is one of the three largest health insurers in Germany serving about 8.7 million 1 EBITDA excluding stock base compensation expenses and extraordinary expenses. Letter to Shareholders</w:t>
            </w:r>
          </w:p>
        </w:tc>
      </w:tr>
    </w:tbl>
    <w:p>
      <w:pPr>
        <w:pStyle w:val="NormalWeb"/>
        <w:pageBreakBefore/>
        <w:spacing w:before="0" w:beforeAutospacing="0" w:after="0" w:afterAutospacing="0"/>
        <w:jc w:val="center"/>
        <w:divId w:val="1575775562"/>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25" name="Picture 2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Letter to Shareholders 3 insured, and AOK PLUS is another large health insurer in Germany serving about 3.5 million insureds, which together brings SHL to over 12.5 million insureds in Germany who can now use this service. The investments in the German operation during the period, mainly in R&amp;D costs related to the Virtual Visit service resulted in a negative contribution of about USD 1.2 million. We are witnessing a steady increase in the adoption of the Doctors’ Virtual Visit services and believe it is a promising new growth engine for the German operation. USA In the US revenues in the first half of 2023 were USD 0.6 million. We adjusted our strategy to prioritize direct-to-consumer sales of the SmartHeart® ECG, viewing it as a move of considerable strategic importance. The direct-to-consumer sales of SmartHeart® will start already during the second half of 2023 and will utilize the infrastructure of a network of cardiologists that is already set up across the US and is available to perform a remote review and interpretation of SmartHeart® ECG from anywhere. In parallel, we are optimistically awaiting the results from the HELP-MI clinical trial conducted by Mayo Clinic which we believe will hold significant value for our B2B plan of introducing the SmartHeart® platform to hospital systems. We continue to see growing utilization of our SmartHeart® platform by Tier1 strategic customers including through the deployment of SmartHeart® in the CVS MinuteClincs. These relationships will bolster our credibility and augment our SmartHeart® direct-to-consumer move. During the second part of 2023 the company expects results from the HELP-MI clinical trial conducted by Mayo Clinic, as well as from another clinical trial conducted by Imperial College London. Both trials relate to the utilization of the SmartHeart® 12-lead ECG technology for remote monitoring of post-MI (heart attack) patients at home. Very positive and strong initial results from these trials were recently presented at the highly regarded Imperial Vulnerable Plaque and Patient Meeting 2023 (VPM) showing meaningful reduction in the rate of readmissions and visits to Emergency Department of post-ACS (Acute Coronary Syndrome) patients that are telemonitored at home with SmartHeart®. These initial results reflect our accumulated experience in this field, will lead to material cost savings to hospital systems and will support a compelling business case for SmartHeart® with hospital systems. Israel Revenues increased by 3% to USD 21.6 million, compared to USD 21.0 in the first half of 2022 when adjusted for constant currency. Our B2C private-pay subscription activity is stable with moderate growth compared to the first half of 2022 as well as the second half of 2022. We began expanding the use of both the B2C and B2B operations and infrastructures, and expect to add new products and services in all sectors of our activity in Israel, already this year. On behalf of the Board of Directors and the management team, we thank all employees for their hard work and our business partners and shareholders for the trust they have placed in SHL. Sincerely, Ehud Barak Yariv Alroy Erez Nachtomy Co-Chairman Co-Chairman CEO of the Board of the Board</w:t>
            </w:r>
          </w:p>
        </w:tc>
      </w:tr>
    </w:tbl>
    <w:p>
      <w:pPr>
        <w:pStyle w:val="NormalWeb"/>
        <w:pageBreakBefore/>
        <w:spacing w:before="0" w:beforeAutospacing="0" w:after="0" w:afterAutospacing="0"/>
        <w:jc w:val="center"/>
        <w:divId w:val="1203395720"/>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26" name="Picture 2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PHIC"/>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4 INDEX 5 | Review of Interim Condensed Consolidated Financial Statements 6 | Consolidated Balance Sheets 8 | Consolidated Statements of Comprehensive Income 9 | Consolidated Statements of Changes in Equity 11 | Consolidated Statements of Cash Flows 13 | Notes to Interim Condensed Consolidated Financial Statements</w:t>
            </w:r>
          </w:p>
        </w:tc>
      </w:tr>
    </w:tbl>
    <w:p>
      <w:pPr>
        <w:pStyle w:val="NormalWeb"/>
        <w:pageBreakBefore/>
        <w:spacing w:before="0" w:beforeAutospacing="0" w:after="0" w:afterAutospacing="0"/>
        <w:jc w:val="center"/>
        <w:divId w:val="2073698974"/>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27" name="Picture 2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PHIC"/>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5 The Shareholders and Board of Directors SHL Telemedicine Ltd. Auditors’ review report to the shareholders and board of directers of SHL Telemedicine Ltd. Introduction We have reviewed the accompanying interim condensed consolidated financial statements of SHL Telemedicine Ltd. (“the Company”) and its subsidiaries as of June 30, 2023, which comprise the interim consolidated balance sheet as of June 30, 2023, and the related interim consolidated statements of comprehensive income, changes in equity and cash flows for the six month period then ended and explanatory notes. Management is responsible for the preparation and presentation of this interim financial information in accordance with International Accounting Standard 34, “Interim Financial Reporting” (“IAS 34”). Our responsibility is to express a conclusion on this interim financial information based on our review. Scope of review We conducted our review in accordance with International Standard on Review Engagements 2410, “Review of Interim Financial Information Performed by the Independent Auditor of the Entity”. A review of interim financial information consists of making inquiries, primarily of persons responsible for financial and accounting matters, and applying analytical and other review procedures. A review is substantially less in scope than an audit conducted in accordance with International Standards on Auditing and consequently does not enable us to obtain assurance that we would become aware of all significant matters that might be identified in an audit. Accordingly, we do not express an audit opinion. Conclusion Based on our review, nothing has come to our attention that causes us to believe that the accompanying interim condensed consolidated financial statements are not prepared, in all material respects, in accordance with IAS 34. Tel-Aviv, Israel September 20, 2023 KOST FORER GABBAY &amp; KASIERER A Member of Ernst &amp; Young Global</w:t>
            </w:r>
          </w:p>
        </w:tc>
      </w:tr>
    </w:tbl>
    <w:p>
      <w:pPr>
        <w:pStyle w:val="NormalWeb"/>
        <w:pageBreakBefore/>
        <w:spacing w:before="0" w:beforeAutospacing="0" w:after="0" w:afterAutospacing="0"/>
        <w:jc w:val="center"/>
        <w:divId w:val="608510412"/>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28" name="Picture 2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6 CONSOLIDATED BALANCE SHEETS U.S. dollars in thousands June 30, December 31, 2023 2022 2022 Unaudited Audited ASSETS CURRENT ASSETS: Cash and cash equivalents 10,435 16,416 4,483 Short-term investments 19,004 8,718 14,217 Trade receivables 8,788 7,293 7,797 Inventory 3,995 4,954 3,879 Other accounts receivable 2,176 1,213 1,912 44,398 38,594 32,288 NON-CURRENT ASSETS: Inventory 1,572 - 1,731 Prepaid expenses 3,234 3,299 3,364 Call option to non-controlling interests, net - 379 245 Long-term deposits 334 408 423 Right-of-use assets 10,695 10,947 11,038 Deferred taxes 2,213 3,659 2,872 Other financial assets - 250 - 18,048 18,942 19,673 PROPERTY AND EQUIPMENT, NET 4,814 4,120 4,652 GOODWILL 32,320 33,433 33,745 INTANGIBLE ASSETS, NET 20,244 19,235 20,425 Total assets 119,824 114,324 110,783 The accompanying notes are an integral part of the interim condensed consolidated financial statements.</w:t>
            </w:r>
          </w:p>
        </w:tc>
      </w:tr>
    </w:tbl>
    <w:p>
      <w:pPr>
        <w:pStyle w:val="NormalWeb"/>
        <w:pageBreakBefore/>
        <w:spacing w:before="0" w:beforeAutospacing="0" w:after="0" w:afterAutospacing="0"/>
        <w:jc w:val="center"/>
        <w:divId w:val="259291951"/>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29" name="Picture 2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PHIC"/>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7 CONSOLIDATED BALANCE SHEETS U.S. dollars in thousands June 30, December 31, 2023 2022 2022 Unaudited Audited LIABILITIES AND EQUITY CURRENT LIABILITIES: Credit from banks and others 2,101 2,152 2,169 Current maturities of lease liabilities 2,398 2,189 2,263 Deferred revenues 218 309 260 Income taxes payable 144 195 138 Trade payables 3,668 4,036 3,757 Other payables 7,353 7,287 9,238 15,882 16,168 17,825 NON-CURRENT LIABILITIES: Liability for share options - 13,940 7,164 Put option to non-controlling interests, net 241 - - Loans from banks 11,320 14,176 13,008 Deferred taxes 2,417 2,873 2,700 Lease liabilities 8,847 9,322 9,302 Employee benefit liabilities 1,488 2,168 1,495 24,313 42,479 33,669 Total liabilities 40,195 58,647 51,494 EQUITY: Attributable to equity holders of the Company: Issued capital 48 42 43 Additional paid-in capital 155,874 126,753 130,009 Treasury shares (2) (56) (2) Foreign currency translation reserve (6,693) (3,226) (3,291) Capital reserve for options 1,514 1,002 1,002 Capital reserve for remeasurement gains on defined benefit plans 1,000 442 1,000 Accumulated deficit (75,291) (72,973) (73,074) 76,450 51,984 55,687 Non-controlling interests 3,179 3,693 3,602 Total equity 79,629 55,677 59,289 Total liabilities and equity 119,824 114,324 110,783 The accompanying notes are an integral part of the interim condensed consolidated financial statements. September 20, 2023 Date of approval of the Yariv Alroy Erez Nachtomy financial statements Chairman of the Board CEO</w:t>
            </w:r>
          </w:p>
        </w:tc>
      </w:tr>
    </w:tbl>
    <w:p>
      <w:pPr>
        <w:pStyle w:val="NormalWeb"/>
        <w:pageBreakBefore/>
        <w:spacing w:before="0" w:beforeAutospacing="0" w:after="0" w:afterAutospacing="0"/>
        <w:jc w:val="center"/>
        <w:divId w:val="1909681382"/>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30" name="Picture 3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APHIC"/>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8 CONSOLIDATED STATEMENTS OF COMPREHENSIVE INCOME U.S. dollars in thousands (except per share data) Six months ended Year ended June 30, December 31, 2023 2022 2022 Note Unaudited Audited Revenues 29,005 30,900 58,998 Cost of revenues 16,228 16,011 31,809 Gross profit 12,777 14,889 27,189 Research and development costs 2,389 1,715 3,788 Selling and marketing expenses 5,620 5,183 11,403 General and administrative expenses 8,689 8,917 16,748 Other expenses 529 91 416 Operating loss (4,450) (1,017) (5,166) Financial income 4,462 2,485 8,833 Financial expenses (1,426) (1,149) (2,355) Profit (loss) before taxes on income (1,414) 319 1,312 Taxes on income 706 252 1,097 Net profit (loss) (2,120) 67 215 Other comprehensive income: Other comprehensive income not to be reclassified to profit or loss in subsequent periods: Re-measurement gain on defined benefit plans - - 581 Other comprehensive loss to be reclassified to profit or loss in subsequent periods: Foreign currency translation reserve (3,571) (6,527) (6,699) Total other loss (3,571) (6,527) (6,118) Total comprehensive loss (5,691) (6,460) (5,903) Net profit (loss) attributable to: Equity holders of the Company (2,217) 25 (76) Non-controlling interests 97 42 291 (2,120) 67 215 Total comprehensive loss attributable to: Equity holders of the Company (5,619) (6,167) (5,775) Non-controlling interests (72) (293) (128) (5,691) (6,460) (5,903) Earnings per share attributable to Equity holders of the Company: Basic earnings (loss) (0.14) 0.00 (0.01) Diluted loss (0.25) (0.06) (0.49) The accompanying notes are an integral part of the interim condensed consolidated financial statements.</w:t>
            </w:r>
          </w:p>
        </w:tc>
      </w:tr>
    </w:tbl>
    <w:p>
      <w:pPr>
        <w:pStyle w:val="NormalWeb"/>
        <w:pageBreakBefore/>
        <w:spacing w:before="0" w:beforeAutospacing="0" w:after="0" w:afterAutospacing="0"/>
        <w:jc w:val="center"/>
        <w:divId w:val="1805930931"/>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31" name="Picture 3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PHIC"/>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9 CONSOLIDATED STATEMENTS OF CHANGES IN EQUITY U.S. dollars in thousands Capital Foreign Capital reserve for Additional currency reserve remeasurement Non-Issued paid-in Treasury translation for gains on defined Accumulated controlling Total capital capital shares reserve options benefit plans deficit Total interests equity Balance as of January 1, 2023 (audited) 43 130,009 (2) (3,291) 1,002 1,000 (73,074) 55,687 3,602 59,289 Exercise of share options 5 25,114 - - 512 - - 25,631 - 25,631 Share-based payments - 691 - - - - - 691 85 776 Equity component of transaction with non-controlling interest - 60 - - - - - 60 (60) - Net profit (loss) - - - - - - (2,217) (2,217) 97 (2,120) Total other comprehensive loss - - - (3,402) - - - (3,402) (169) (3,571) Dividend to non-controlling interests - - - - - - - - (376) (376) Balance as of June 30, 2023 (unaudited) 48 155,874 (2) (6,693) 1,514 1,000 (75,291) 76,450 3,179 79,629 Capital Foreign Capital reserve for Additional currency reserve remeasurement Non-Issued paid-in Treasury translation for gains on defined Accumulated controlling Total capital capital shares reserve options benefit plans deficit Total interests equity Balance as of January 1, 2022 (audited) 42 125,484 (86) 2,966 1,002 442 (72,998) 56,852 3,911 60,763 Exercise of share options *- 402 - - - - - 402 - 402 Share-based payments - 720 - - - - - 720 252 972 Exercise of Employee options - (30) 30 - - - - - - - Equity component of transaction with non-controlling interest - 177 - - - - - 177 (177) - Net profit - - - - - - 25 25 42 67 Total other comprehensive loss - - - (6,192) - - - (6,192) (335) (6,527) Balance as of June 30, 2022 (unaudited) 42 126,753 (56) (3,226) 1,002 442 (72,973) 51,984 3,693 55,677 * Represents an amount lower than $ 1. The accompanying notes are an integral part of the interim condensed consolidated financial statements.</w:t>
            </w:r>
          </w:p>
        </w:tc>
      </w:tr>
    </w:tbl>
    <w:p>
      <w:pPr>
        <w:pStyle w:val="NormalWeb"/>
        <w:pageBreakBefore/>
        <w:spacing w:before="0" w:beforeAutospacing="0" w:after="0" w:afterAutospacing="0"/>
        <w:jc w:val="center"/>
        <w:divId w:val="1513521105"/>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32" name="Picture 3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PHIC"/>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10 CONSOLIDATED STATEMENTS OF CHANGES IN EQUITY U.S. dollars in thousands Capital Foreign Capital reserve for Additional currency reserve remeasurement Non-Issued paid-in Treasury translation for gains on defined Accumulated controlling Total capital capital shares reserve options benefit plans deficit Total interests equity Balance as of January 1, 2022 (audited) 42 125,484 (86) 2,966 1,002 442 (72,998) 56,852 3,911 60,763 Exercise of share options 1 2,975 - - - - - 2,976 - 2,976 Exercise of Employee options * (84) 84 - - - - - - - Share-based payments - 1,347 - - - - - 1,347 410 1,757 Equity component of transaction with non-controlling interest - 287 - - - - - 287 (287) - Dividend paid to non-controlling interests - - - - - - - - (130) (130) PPA Adjustments - - - - - - - - (174) (174) Net profit (loss) - - - - - - (76) (76) 291 215 Total other comprehensive income (loss) - - - (6,257) - 558 - (5,699) (419) (6,118) Balance as of December 31, 2022 (audited) 43 130,009 (2) (3,291) 1,002 1,000 (73,074) 55,687 3,602 59,289 * Represents an amount lower than $ 1. The accompanying notes are an integral part of the interim condensed consolidated financial statements.</w:t>
            </w:r>
          </w:p>
        </w:tc>
      </w:tr>
    </w:tbl>
    <w:p>
      <w:pPr>
        <w:pStyle w:val="NormalWeb"/>
        <w:pageBreakBefore/>
        <w:spacing w:before="0" w:beforeAutospacing="0" w:after="0" w:afterAutospacing="0"/>
        <w:jc w:val="center"/>
        <w:divId w:val="469057287"/>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33" name="Picture 3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PHIC"/>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11 CONSOLIDATED STATEMENTS OF CASH FLOWS U.S. dollars in thousands Six months ended Year ended June 30, December 31, 2023 2022 2022 Unaudited Audited Cash flows from operating activities: Net profit (loss) (2,120) 67 215 Adjustments required to reconcile net profit (loss) to net cash provided by (used in) operating activities: Income and expenses not involving operating cash flows: Depreciation and amortization 3,512 3,412 7,134 Capital loss from sale of property and equipment 16 50 51 Change in employee benefit liabilities, net 69 56 90 Financial income, net (2,432) (1,925) (7,443) Valuation loss (gain) of short-term investments (723) 589 769 Cost of share-based payments 776 972 1,757 Taxes on income 706 252 1,097 1,924 3,406 3,455 Changes in operating assets and liabilities: Increase in trade receivables, net (1,413) (73) (641) Increase in inventory (411) (1,503) (2,544) Decrease (increase) in prepaid expenses (35) 68 (21) Increase in other accounts receivable (368) (169) (471) Increase in trade payables 98 1,575 1,264 Decrease in deferred revenues (30) (201) (246) Increase (decrease) in other accounts payable (460) (367) 845 (2,619) (670) (1,814) Cash paid and received: Interest received 566 153 429 Interest paid (709) (394) (1,010) Income tax received 9 23 87 Income taxes paid (344) (864) (1,435) (478) (1,082) (1,929) Net cash provided by (used in) operating activities (3,293) 1,721 (73) The accompanying notes are an integral part of the interim condensed consolidated financial statements.</w:t>
            </w:r>
          </w:p>
        </w:tc>
      </w:tr>
    </w:tbl>
    <w:p>
      <w:pPr>
        <w:pStyle w:val="NormalWeb"/>
        <w:pageBreakBefore/>
        <w:spacing w:before="0" w:beforeAutospacing="0" w:after="0" w:afterAutospacing="0"/>
        <w:jc w:val="center"/>
        <w:divId w:val="265892383"/>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34" name="Picture 3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PHIC"/>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12 CONSOLIDATED STATEMENTS OF CASH FLOWS U.S. dollars in thousands Six months ended Year ended June 30, December 31, 2023 2022 2022 Unaudited Audited Cash flows from investing activities: Purchase of property and equipment (578) (1,030) (1,661) Investment in intangible assets (2,196) (2,157) (5,243) Investment in long-term deposits (9,783) - (5,705) Proceeds from long-term deposits 5,900 - - Purchase of short-term investments (963) (4,056) (5,588) Proceeds from sale of short-term investments 1,022 10,449 11,764 Net cash provided by (used in) investing activities (6,598) 3,206 (6,433) Cash flows from financing activities: Dividend paid to non-controlling interests (376) - (130) Payment of lease liabilities (1,237) (1,250) (2,447) Payment of liability to underwriter (1,124) - - Exercise of share options 20,298 239 1,961 Payment of long-term loans (1,055) (566) (1,665) Other 12 - - Net cash provided by (used in) financing activities 16,518 (1,577) (2,281) Effect of exchange rate changes on cash and cash equivalents (675) (1,779) (1,575) Increase (decrease) in cash and cash equivalents 5,952 1,571 (10,362) Cash and cash equivalents at the beginning of the period 4,483 14,845 14,845 Cash and cash equivalents at the end of the period 10,435 16,416 4,483 Non-cash transactions: Right-of-use asset recognized with corresponding lease liability 1,065 368 1,658 Liability derecognized and recorded in equity upon exercise of share options 5,333 163 1,015 The accompanying notes are an integral part of the interim condensed consolidated financial statements.</w:t>
            </w:r>
          </w:p>
        </w:tc>
      </w:tr>
    </w:tbl>
    <w:p>
      <w:pPr>
        <w:pStyle w:val="NormalWeb"/>
        <w:pageBreakBefore/>
        <w:spacing w:before="0" w:beforeAutospacing="0" w:after="0" w:afterAutospacing="0"/>
        <w:jc w:val="center"/>
        <w:divId w:val="2020882772"/>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35" name="Picture 3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PHIC"/>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13 NOTE 1 | GENERAL a. These consolidated financial statements have been prepared in a condensed format as of June 30, 2023, and for the six months then ended. These condensed consolidated financial statements should be read in conjunction with the annual consolidated financial statements and accompanying notes of SHL Telemedicine Ltd. (“the Company”) as of December 31, 2022 and for the year then ended (“the annual financial statements”). b. Following are data regarding the Israeli CPI and the exchange rates of the Euro, U.S. dollar and the Swiss Franc in relation to the new Israeli Shekel (NIS): Israeli Exchange rate of CPI € 1 U.S. $ 1 CHF 1 For the year ended Points* NIS June 30, 2023 246.7 4.02 3.7 4.11 June 30, 2022 236.8 3.64 3.5 3.65 December 31, 2022 241.4 3.75 3.52 3.82 Change during the period % June 2023 (6 months) 2.2 7.2 5.1 7.6 June 2022 (6 months) 3.2 3.4 12.5 7.3 December 31, 2022 5.2 6.5 13.2 12.4 * The index on an average basis of 1993 = 100. NOTE 2 | SIGNIFICANT ACCOUNTING POLICIES a. Basis of preparation of the interim condensed consolidated financial statements: The interim condensed consolidated financial statements for the six months ended June 30, 2022 have been prepared in accordance with generally accepted accounting principles for the preparation of financial statements for interim periods, as prescribed in IAS 34, “Interim Financial Reporting. The significant accounting policies and methods of computation adopted in the preparation of the interim condensed consolidated financial statements are consistent with those followed in the preparation of the annual financial statements, except as described in b. below. b. Initial adoption of amendments to International Financial Reporting Standards: 1. Amendment to IAS 8, “Accounting Policies, Changes to Accounting Estimates and Errors”: In February 2021, the IASB issued an amendment to IAS 8, “Accounting Policies, Changes to Accounting Estimates and Errors” (“the Amendment”), in which it introduces a new definition of “accounting estimates”. Accounting estimates are defined as “monetary amounts in financial statements that are subject to measurement uncertainty”. The Amendment clarifies the distinction between changes in accounting estimates and changes in accounting policies and the correction of errors. The Amendment is to be applied prospectively for annual reporting periods beginning on or after January 1, 2023 and is applicable to changes in accounting policies and changes in accounting estimates that occur on or after the start of that period. The application of the Amendment did not have a material impact on the Company’s interim financial statements. 2. Amendment to IAS 12, “Income Taxes: In May 2021, the IASB issued an amendment to IAS 12, “Income Taxes” (“IAS 12”), which narrows the scope of the initial recognition exception under IAS 12.15 and IAS 12.24 (“the Amendment”). According to the recognition guidelines of deferred tax assets and liabilities, IAS 12 excludes recognition of deferred tax assets and liabilities in respect of certain temporary differences arising from the initial recognition of certain NOTES TO CONSOLIDATED STATEMENTS U.S. dollars in thousands</w:t>
            </w:r>
          </w:p>
        </w:tc>
      </w:tr>
    </w:tbl>
    <w:p>
      <w:pPr>
        <w:pStyle w:val="NormalWeb"/>
        <w:pageBreakBefore/>
        <w:spacing w:before="0" w:beforeAutospacing="0" w:after="0" w:afterAutospacing="0"/>
        <w:jc w:val="center"/>
        <w:divId w:val="1887374362"/>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36" name="Picture 3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PHIC"/>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 xml:space="preserve">Financial Statements 14 transactions. This exception is referred to as the “initial recognition exception”. The Amendment narrows the scope of the initial recognition exception and clarifies that it does not apply to the recognition of deferred tax assets and liabilities arising from transactions that are not a business combination and that give rise to equal taxable and deductible temporary differences, even if they meet the other criteria of the initial recognition exception. The Amendment is effective for annual reporting periods beginning on or after January 1, 2023. In relation to leases and decommissioning obligations, the Amendment is applied commencing from the earliest reporting period presented in the financial statements in which the Amendment is initially applied. The cumulative effect of the initial application of the Amendment is recognized as an adjustment to the opening balance of retained earnings (or another component of equity, as appropriate) at that date. The application of the Amendment did not have a material impact on the Company’s interim financial statements. NOTE 3 | REVENUES Six months ended Year ended June 30, December 31, 2023 2022 2022 Unaudited Audited Revenues for services performed during the period 28,195 30,234 57,869 Revenues from sale of devices 810 666 1,129 29,005 30,900 58,998 NOTES TO CONSOLIDATED STATEMENTS U.S. dollars in thousands NOTE 4 | MATERIAL EVENTS DURING THE REPORTING PERIOD a. During January 2023 and February 2023 the Company received proceeds of approximately CHF 18.7 million (USD 20.3 million) from exercises of 1,703,908 share options granted in the private placements in January 2021 and February 2021 and 29,967 options were forfeited. In addition, the underwriters received a cash payment of approximately CHF 1.1 million (USD 1.1 million) derived from cash received by the Company from the exercise of the Share Options and 58,498 Units of securities. This payment was offset from the liability to the underwriters recorded in the balance sheet. See also Note 4e. below. b. In April, 2023 the Company’s Board of Directors approved the appointment of Bernd Altpeter as Co-Managing Director of SHL German Operation. c. During the period, the Company’s Board of Directors approved the grant of 423,500 options to Senior managers, under the 2021 Executive and Key Employee Israeli Share Incentive Plan. The options shall vest over a period of 3 years (25% after 1 year, and 9.375% each quarter thereafter). The fair value of options granted ranges from CHF 3.37 to 4.66 ($ 3.76-5.05). The fair value was estimated based on the binomial model using the following data and assumptions: share price range - CHF 9.70-14.80; exercise price range – CHF 9.36- 15.56; expected volatility range – 43.87%-46.57%; risk free interest rate range – 0.89%-1.50%; expected dividend – 0%; and expected average life of options range – 3.43-3.49 years. d. On March 31, 2023 the Company announced that the U.S. Securities and Exchange Commission (the “SEC”) declared effective the Company’s registration statement of its securities under the U.S. Securities Exchange Act of 1934, as amended (the “Exchange Act“), in connection with the NASDAQ Listing of its American Depositary Shares (“ADRs”), each representing </w:t>
            </w:r>
          </w:p>
        </w:tc>
      </w:tr>
    </w:tbl>
    <w:p>
      <w:pPr>
        <w:pStyle w:val="NormalWeb"/>
        <w:pageBreakBefore/>
        <w:spacing w:before="0" w:beforeAutospacing="0" w:after="0" w:afterAutospacing="0"/>
        <w:jc w:val="center"/>
        <w:divId w:val="1276447661"/>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37" name="Picture 3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PHIC"/>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15 one ordinary share of the Company. The ADRs commenced trading on The NASDAQ Capital Market (the “Nasdaq”), on April 3 2023 under the ticker symbol “SHLT”, in parallel to its ordinary shares continuing to be listed on the Swiss Stock Exchange. e. In March, 2023, in connection with services provided in respect of the exercise of options described in Note 4a. above, the Company signed an agreement with the underwriter for the extension of the exercise period of the Share Options previously granted in 2021 for an additional 2 years until 2025 and for change of the exercise price to NIS 35.64 ($ 9.83) for each Unit of securities (which comprises 1 Ordinary share and 0.5 option to acquire 1 Ordinary share of the Company) and NIS 43.56 ($ 12.01) for each option included in the Unit. The Company used the Black and Scholes option pricing model when estimating the incremental fair value of the Share Options after the modifications described above. The following table lists the significant inputs to the Black and Scholes model used for the fair value measurement of the Share Options: Expected dividend 0% Expected volatility of the share price 41.18% Risk-free interest rate 4.11% Expected average life of options 2.01 years Share price CHF 11.55 ($ 12.53) Based on the above inputs, the total incremental fair value of the Share Options to acquire Units as of the date of the modifications was $ 512 and was recorded as a deduction from Additional paid-in capital arising from the exercise of the options in Note 4a. above with a corresponding increase in the Capital reserve for options. NOTE 5 | SEGMENT INFORMATION As presented in the annual financial statements, the Group operates in three geographic segments: Israel, Europe (principally Germany) and Rest of the world (“Row”). Management monitors the operating results of its geographical units separately for the purpose of making decisions about resource allocation and performance assessment. Segment performance is evaluated based on segment profit. SG&amp;A Group expenses and some research and development expenses are mostly allocated to the separate geographic units. Some corporate expenses, some research and development expenses, finance costs and finance income and income taxes are managed on a group basis and are not allocated to the geographic segments. Revenues are allocated based on the location of the end customer. The Group presents disaggregated revenue information based on types of customers: Individual customers and communities, Institutions and payers (income from service agreements with institutions, insurance companies and HMOs), and others. NOTES TO CONSOLIDATED STATEMENTS U.S. dollars in thousands</w:t>
            </w:r>
          </w:p>
        </w:tc>
      </w:tr>
    </w:tbl>
    <w:p>
      <w:pPr>
        <w:pStyle w:val="NormalWeb"/>
        <w:pageBreakBefore/>
        <w:spacing w:before="0" w:beforeAutospacing="0" w:after="0" w:afterAutospacing="0"/>
        <w:jc w:val="center"/>
        <w:divId w:val="2025521881"/>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38" name="Picture 3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PHIC"/>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16 a. Segment revenues: Individuals Institutions and and communities payers Others Total Six months ended June 30, 2023 (unaudited): Europe - 6,831 - 6,831 Israel 10,909 10,716 - 21,625 Row - - 549 549 Total revenues 10,909 17,547 549 29,005 Six months ended June 30, 2022 (unaudited): Europe - 7,127 - 7,127 Israel 11,202 11,832 - 23,034 Row - - 739 739 Total revenues 11,202 18,959 739 30,900 Year ended December 31, 2022 (audited): Europe - 13,374 - 13,374 Israel 22,161 22,977 - 45,138 Row - - 486 486 Total revenues 22,161 36,351 486 58,998 b. Segment profit (loss): Six months ended Year ended June 30, December 31, 2023 2022 2022 Unaudited Audited Europe (2,672) (1,169) (3,044) Israel 3,976 4,404 8,641 Row (1,488) (549) (2,972) (184) 2,686 2,625 Unallocated income and expenses: Corporate and R&amp;D expenses (3,737) (3,703) (7,375) Other expenses (529) - (416) Operating loss (4,450) (1,017) (5,166) Financial income, net 3,036 1,336 6,478 Profit (loss) before taxes on income (1,414) 319 1,312 NOTES TO CONSOLIDATED STATEMENTS U.S. dollars in thousands NOTE 6 | FINANCIAL INSTRUMENTS Fair value: Reconciliation of fair value measurements that are categorized within Level 3 of the fair value hierarchy in financial instruments: Financial instruments Call (put) option to Liability for Liability to non-controlling share options underwriters interests, net Total Balance as of January 1, 2023 (7,164) (1,131) 245 (8,050) Remeasurement recognized in: Profit (loss) 1,848 (15) (488) 1,345 Other comprehensive income (loss) (17) 23 2 8 Exercise of Share Options into shares 5,333 - - 5,333 Payment - 1,123 - 1,123 As of June 30, 2023 - - (241) (241) Presented in balance sheet: Put option for non-controlling interests, net - - (241) (241) The Company used the Monte Carlo option pricing model when estimating the fair value of the Put and Call Options granted in the acquisition of Mediton Group. The fair value was estimated using the following data and assumptions: underlying asset value – 34,376; Expected volatility of the share price – 40.9%-42.5%; Discount rate – 14.9%; Risk-free interest rate – 3.86%; Term of option – 3.17 years. The following table demonstrates the effect on fair value of a reasonably possible change in the underlying asset value with all other variables held constant: Increase/decrease in Effect on underlying asset value Fair value, net +5% 460 -5% (455)</w:t>
            </w:r>
          </w:p>
        </w:tc>
      </w:tr>
    </w:tbl>
    <w:p>
      <w:pPr>
        <w:pStyle w:val="NormalWeb"/>
        <w:pageBreakBefore/>
        <w:spacing w:before="0" w:beforeAutospacing="0" w:after="0" w:afterAutospacing="0"/>
        <w:jc w:val="center"/>
        <w:divId w:val="1330791094"/>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39" name="Picture 3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APHIC"/>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17 Information For Investors Capital structure As of June 30, 2023, the issued share capital is divided into 16,386,180 registered shares with a par value of NIS 0.01 each (excluding 1,372 ordinary shares of NIS 0.01 par value each held by SHL). Significant shareholders’ As of June 30, 2023, SHL was aware of the following shareholders with more than 3% of all voting rights in the company. % % Number of Including Excluding Ordinary Treasury Treasury Shares Held shares shares Mrs. Cai Mengke and Kun Shen 5,969,413 36.43% 36.43% More Provident Funds 1,812,525 11.06% 11.06% Value Base Group 1,368,837 8.35% 8.35% Sphera Funds Management Ltd 819,776 5.00% 5.00% Yariv Alroy 801,456 4.89% 4.89% Danbar Finance Ltd. 760,000 4.64% 4.64% SHL Treasury shares 1,372 0.01% - The above table of Significant Shareholders reflects both actual holdings as of June 30, 2023, after deducting from the total number of shares outstanding 1,372 Ordinary Shares held by SHL, and actual holding as of June 30, 2023 calculated including ordinary shares held by SHL, all as indicated above, but does not reflect holding on a fully diluted basis. All in accordance with notifications received by the Company from shareholders and the SAG registrar as of June 30, 2023. Statistics on SHL Telemedicine as at June 30, 2023 Registered shares with a par value of NIS 0.01 each Securities number 1128957 Number of shares* 16,386,180 Market price high/low (CHF) 15.20/7.90 Market capitalization high/low (CHF million) 249.1/129.5 Market capitalization 30/06/23 (CHF million) 154.0 Share capital – nominal value (NIS) 163,875 * Excluding 1,372 ordinary shares held by SHL. Share price development Listing All SHL shares are listed on SIX Swiss Exchange Ticker symbol: SHLTN Currency: CHF Listing date: November 15, 2000 SHL American Depository Shares (“ADS”) are listed on the Nasdaq Capital Market Exchange Ticker symbol: SHLT Currency: USD Listing date: April 3, 2023 Depository bank: Bank of New York Mellon Investor relations SHL Telemedicine Ltd. Erez Nachtomy, CEO Email: erezna@shl-telemedicine.com Amir Hai, Chief Financial Officer Email: amirh@shl-telemedicine.com 90 Yigal Alon St., Tel Aviv 6789130, Israel Tel. ++972 3 561 2212 Fax: ++972 3 624 2414</w:t>
            </w:r>
          </w:p>
        </w:tc>
      </w:tr>
    </w:tbl>
    <w:p>
      <w:pPr>
        <w:pStyle w:val="NormalWeb"/>
        <w:pageBreakBefore/>
        <w:spacing w:before="0" w:beforeAutospacing="0" w:after="0" w:afterAutospacing="0"/>
        <w:jc w:val="center"/>
        <w:divId w:val="1384982897"/>
        <w:rPr>
          <w:sz w:val="20"/>
          <w:szCs w:val="20"/>
        </w:rPr>
      </w:pPr>
      <w:r>
        <w:rPr>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9304"/>
        <w:gridCol w:w="776"/>
      </w:tblGrid>
      <w:tr>
        <w:trPr>
          <w:divId w:val="1237128075"/>
          <w:cantSplit/>
          <w:jc w:val="center"/>
        </w:trPr>
        <w:tc>
          <w:tcPr>
            <w:tcW w:w="4615" w:type="pct"/>
            <w:tcMar>
              <w:top w:w="0" w:type="dxa"/>
              <w:left w:w="108" w:type="dxa"/>
              <w:bottom w:w="0" w:type="dxa"/>
              <w:right w:w="108" w:type="dxa"/>
            </w:tcMar>
            <w:hideMark/>
          </w:tcPr>
          <w:p>
            <w:pPr>
              <w:pStyle w:val="NormalWeb"/>
              <w:spacing w:before="0" w:beforeAutospacing="0" w:after="0" w:afterAutospacing="0"/>
              <w:jc w:val="center"/>
            </w:pPr>
            <w:r>
              <w:rPr>
                <w:noProof/>
              </w:rPr>
              <w:drawing>
                <wp:inline distT="0" distB="0" distL="0" distR="0">
                  <wp:extent cx="5715000" cy="8086725"/>
                  <wp:effectExtent l="0" t="0" r="0" b="9525"/>
                  <wp:docPr id="40" name="Picture 4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APHIC"/>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pPr>
              <w:pStyle w:val="NormalWeb"/>
              <w:spacing w:before="0" w:beforeAutospacing="0" w:after="0" w:afterAutospacing="0"/>
            </w:pPr>
            <w:r>
              <w:rPr>
                <w:rFonts w:ascii="Arial" w:hAnsi="Arial" w:cs="Arial"/>
                <w:color w:val="FFFFFF"/>
                <w:sz w:val="2"/>
                <w:szCs w:val="2"/>
              </w:rPr>
              <w:t>Financial Statements 18 This announcement contains “forward-looking statements” within the meaning of the U.S. Private Securities Litigation Reform Act of 1995, specifically Section 27A of the U.S. Securities Act of 1933, as amended, and Section 21E of the U.S. Securities Exchange Act of 1934, as amended. All statements, other than statements of historical facts, are forward-looking statements, including, the Company’s anticipation with respect to changes in its results of operations from prior periods. Readers are cautioned that forward-looking statements are not guarantees of future performance and involve known and unknown risks, uncertainties and other factors that could cause actual results to differ materially from historical results or any future results expressed or implied by forward-looking statements. Factors that can cause actual results to differ from expectations and those contained in forward-looking statements include those risks described in Item 3.D. “Key Information— Risk Factors” contained in the Company’s Registration Statement on Form 20-F filed with the U.S. Securities Exchange Commission (the “SEC”) on March 28, 2023 and in its subsequent filings and submissions with the SEC, including, but not limited to, the Company’s ability to operate and comply with the complex and evolving regulations in the highly regulated healthcare industry; the continued development, consumer acceptance and market adoption of the Company’s products and services in the relatively new, unproven and volatile and rapidly changing telehealth market; the Company’s ability to develop and Forward Looking Statements introduce new products and solutions and enhancements to existing ones; the significant and increasing levels of competition in the telemedicine market; the impacts of COVID-19 and future pandemics and epidemics; the Company’s ability to continue to attract and retain key employees and personal in the highly competitive healthcare industry; the loss or breach of the Company’s proprietary rights and data security and privacy risks; political, judicial, legal, economic and military conditions in Israel and the surrounding region; global economic and financial market conditions and the Company’s ability to adapt to and comply with the different business and market factors, conditions, requirements and laws and regulations in the various countries in which the Company operates internationally; currency fluctuations; labor disputes; the Company’s ability to manage growth and integrate acquired businesses and expanding operations; the Company’s ability to obtain adequate levels of insurance to cover potential losses; the Company’s dependence on key suppliers and sub-contractors and other third parties; and other matters and risks not yet known to the Company or not currently considered material by it. You should not place undue reliance on these forward-looking statements. All written and oral forward-looking statements, attributable to the Company, or persons acting on its behalf, are qualified in their entirety by these cautionary statements. Unless required by law, the Company undertakes no obligation to publicly update or revise any forward-looking statements.</w:t>
            </w:r>
          </w:p>
        </w:tc>
      </w:tr>
    </w:tbl>
    <w:p>
      <w:pPr>
        <w:pStyle w:val="NormalWeb"/>
        <w:pageBreakBefore/>
        <w:spacing w:before="0" w:beforeAutospacing="0" w:after="0" w:afterAutospacing="0"/>
        <w:jc w:val="center"/>
        <w:divId w:val="1832596529"/>
        <w:rPr>
          <w:sz w:val="20"/>
          <w:szCs w:val="20"/>
        </w:rPr>
      </w:pPr>
      <w:r>
        <w:rPr>
          <w:sz w:val="20"/>
          <w:szCs w:val="20"/>
        </w:rPr>
        <w:lastRenderedPageBreak/>
        <w:t> </w:t>
      </w:r>
    </w:p>
    <w:sectPr>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Moves/>
  <w:doNotTrackFormatting/>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009C8F7-F6FC-479D-9DA6-6F090A23E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6093">
      <w:marLeft w:val="0"/>
      <w:marRight w:val="0"/>
      <w:marTop w:val="0"/>
      <w:marBottom w:val="0"/>
      <w:divBdr>
        <w:top w:val="none" w:sz="0" w:space="0" w:color="auto"/>
        <w:left w:val="none" w:sz="0" w:space="0" w:color="auto"/>
        <w:bottom w:val="none" w:sz="0" w:space="0" w:color="auto"/>
        <w:right w:val="none" w:sz="0" w:space="0" w:color="auto"/>
      </w:divBdr>
    </w:div>
    <w:div w:id="14423596">
      <w:marLeft w:val="0"/>
      <w:marRight w:val="0"/>
      <w:marTop w:val="120"/>
      <w:marBottom w:val="240"/>
      <w:divBdr>
        <w:top w:val="none" w:sz="0" w:space="0" w:color="auto"/>
        <w:left w:val="none" w:sz="0" w:space="0" w:color="auto"/>
        <w:bottom w:val="none" w:sz="0" w:space="0" w:color="auto"/>
        <w:right w:val="none" w:sz="0" w:space="0" w:color="auto"/>
      </w:divBdr>
    </w:div>
    <w:div w:id="189418525">
      <w:marLeft w:val="0"/>
      <w:marRight w:val="0"/>
      <w:marTop w:val="0"/>
      <w:marBottom w:val="0"/>
      <w:divBdr>
        <w:top w:val="none" w:sz="0" w:space="0" w:color="auto"/>
        <w:left w:val="none" w:sz="0" w:space="0" w:color="auto"/>
        <w:bottom w:val="none" w:sz="0" w:space="0" w:color="auto"/>
        <w:right w:val="none" w:sz="0" w:space="0" w:color="auto"/>
      </w:divBdr>
      <w:divsChild>
        <w:div w:id="1007901614">
          <w:marLeft w:val="0"/>
          <w:marRight w:val="0"/>
          <w:marTop w:val="0"/>
          <w:marBottom w:val="0"/>
          <w:divBdr>
            <w:top w:val="none" w:sz="0" w:space="0" w:color="auto"/>
            <w:left w:val="none" w:sz="0" w:space="0" w:color="auto"/>
            <w:bottom w:val="none" w:sz="0" w:space="0" w:color="auto"/>
            <w:right w:val="none" w:sz="0" w:space="0" w:color="auto"/>
          </w:divBdr>
        </w:div>
        <w:div w:id="1134638957">
          <w:marLeft w:val="0"/>
          <w:marRight w:val="0"/>
          <w:marTop w:val="0"/>
          <w:marBottom w:val="0"/>
          <w:divBdr>
            <w:top w:val="none" w:sz="0" w:space="0" w:color="auto"/>
            <w:left w:val="none" w:sz="0" w:space="0" w:color="auto"/>
            <w:bottom w:val="none" w:sz="0" w:space="0" w:color="auto"/>
            <w:right w:val="none" w:sz="0" w:space="0" w:color="auto"/>
          </w:divBdr>
        </w:div>
        <w:div w:id="1777602215">
          <w:marLeft w:val="0"/>
          <w:marRight w:val="0"/>
          <w:marTop w:val="0"/>
          <w:marBottom w:val="0"/>
          <w:divBdr>
            <w:top w:val="none" w:sz="0" w:space="0" w:color="auto"/>
            <w:left w:val="none" w:sz="0" w:space="0" w:color="auto"/>
            <w:bottom w:val="none" w:sz="0" w:space="0" w:color="auto"/>
            <w:right w:val="none" w:sz="0" w:space="0" w:color="auto"/>
          </w:divBdr>
        </w:div>
        <w:div w:id="955450973">
          <w:marLeft w:val="0"/>
          <w:marRight w:val="0"/>
          <w:marTop w:val="0"/>
          <w:marBottom w:val="0"/>
          <w:divBdr>
            <w:top w:val="none" w:sz="0" w:space="0" w:color="auto"/>
            <w:left w:val="none" w:sz="0" w:space="0" w:color="auto"/>
            <w:bottom w:val="none" w:sz="0" w:space="0" w:color="auto"/>
            <w:right w:val="none" w:sz="0" w:space="0" w:color="auto"/>
          </w:divBdr>
        </w:div>
        <w:div w:id="923343364">
          <w:marLeft w:val="0"/>
          <w:marRight w:val="0"/>
          <w:marTop w:val="0"/>
          <w:marBottom w:val="0"/>
          <w:divBdr>
            <w:top w:val="none" w:sz="0" w:space="0" w:color="auto"/>
            <w:left w:val="none" w:sz="0" w:space="0" w:color="auto"/>
            <w:bottom w:val="none" w:sz="0" w:space="0" w:color="auto"/>
            <w:right w:val="none" w:sz="0" w:space="0" w:color="auto"/>
          </w:divBdr>
        </w:div>
        <w:div w:id="646478270">
          <w:marLeft w:val="0"/>
          <w:marRight w:val="0"/>
          <w:marTop w:val="0"/>
          <w:marBottom w:val="0"/>
          <w:divBdr>
            <w:top w:val="none" w:sz="0" w:space="0" w:color="auto"/>
            <w:left w:val="none" w:sz="0" w:space="0" w:color="auto"/>
            <w:bottom w:val="none" w:sz="0" w:space="0" w:color="auto"/>
            <w:right w:val="none" w:sz="0" w:space="0" w:color="auto"/>
          </w:divBdr>
        </w:div>
        <w:div w:id="653217982">
          <w:marLeft w:val="0"/>
          <w:marRight w:val="0"/>
          <w:marTop w:val="0"/>
          <w:marBottom w:val="0"/>
          <w:divBdr>
            <w:top w:val="none" w:sz="0" w:space="0" w:color="auto"/>
            <w:left w:val="none" w:sz="0" w:space="0" w:color="auto"/>
            <w:bottom w:val="none" w:sz="0" w:space="0" w:color="auto"/>
            <w:right w:val="none" w:sz="0" w:space="0" w:color="auto"/>
          </w:divBdr>
        </w:div>
        <w:div w:id="734821784">
          <w:marLeft w:val="0"/>
          <w:marRight w:val="0"/>
          <w:marTop w:val="0"/>
          <w:marBottom w:val="0"/>
          <w:divBdr>
            <w:top w:val="none" w:sz="0" w:space="0" w:color="auto"/>
            <w:left w:val="none" w:sz="0" w:space="0" w:color="auto"/>
            <w:bottom w:val="none" w:sz="0" w:space="0" w:color="auto"/>
            <w:right w:val="none" w:sz="0" w:space="0" w:color="auto"/>
          </w:divBdr>
        </w:div>
        <w:div w:id="1726760448">
          <w:marLeft w:val="0"/>
          <w:marRight w:val="0"/>
          <w:marTop w:val="0"/>
          <w:marBottom w:val="0"/>
          <w:divBdr>
            <w:top w:val="none" w:sz="0" w:space="0" w:color="auto"/>
            <w:left w:val="none" w:sz="0" w:space="0" w:color="auto"/>
            <w:bottom w:val="none" w:sz="0" w:space="0" w:color="auto"/>
            <w:right w:val="none" w:sz="0" w:space="0" w:color="auto"/>
          </w:divBdr>
        </w:div>
        <w:div w:id="37900655">
          <w:marLeft w:val="0"/>
          <w:marRight w:val="0"/>
          <w:marTop w:val="0"/>
          <w:marBottom w:val="0"/>
          <w:divBdr>
            <w:top w:val="none" w:sz="0" w:space="0" w:color="auto"/>
            <w:left w:val="none" w:sz="0" w:space="0" w:color="auto"/>
            <w:bottom w:val="none" w:sz="0" w:space="0" w:color="auto"/>
            <w:right w:val="none" w:sz="0" w:space="0" w:color="auto"/>
          </w:divBdr>
        </w:div>
        <w:div w:id="804659753">
          <w:marLeft w:val="0"/>
          <w:marRight w:val="0"/>
          <w:marTop w:val="0"/>
          <w:marBottom w:val="0"/>
          <w:divBdr>
            <w:top w:val="none" w:sz="0" w:space="0" w:color="auto"/>
            <w:left w:val="none" w:sz="0" w:space="0" w:color="auto"/>
            <w:bottom w:val="none" w:sz="0" w:space="0" w:color="auto"/>
            <w:right w:val="none" w:sz="0" w:space="0" w:color="auto"/>
          </w:divBdr>
        </w:div>
        <w:div w:id="37093936">
          <w:marLeft w:val="0"/>
          <w:marRight w:val="0"/>
          <w:marTop w:val="0"/>
          <w:marBottom w:val="0"/>
          <w:divBdr>
            <w:top w:val="none" w:sz="0" w:space="0" w:color="auto"/>
            <w:left w:val="none" w:sz="0" w:space="0" w:color="auto"/>
            <w:bottom w:val="none" w:sz="0" w:space="0" w:color="auto"/>
            <w:right w:val="none" w:sz="0" w:space="0" w:color="auto"/>
          </w:divBdr>
        </w:div>
        <w:div w:id="1961718747">
          <w:marLeft w:val="0"/>
          <w:marRight w:val="0"/>
          <w:marTop w:val="0"/>
          <w:marBottom w:val="0"/>
          <w:divBdr>
            <w:top w:val="none" w:sz="0" w:space="0" w:color="auto"/>
            <w:left w:val="none" w:sz="0" w:space="0" w:color="auto"/>
            <w:bottom w:val="none" w:sz="0" w:space="0" w:color="auto"/>
            <w:right w:val="none" w:sz="0" w:space="0" w:color="auto"/>
          </w:divBdr>
        </w:div>
        <w:div w:id="921372518">
          <w:marLeft w:val="0"/>
          <w:marRight w:val="0"/>
          <w:marTop w:val="0"/>
          <w:marBottom w:val="0"/>
          <w:divBdr>
            <w:top w:val="none" w:sz="0" w:space="0" w:color="auto"/>
            <w:left w:val="none" w:sz="0" w:space="0" w:color="auto"/>
            <w:bottom w:val="none" w:sz="0" w:space="0" w:color="auto"/>
            <w:right w:val="none" w:sz="0" w:space="0" w:color="auto"/>
          </w:divBdr>
        </w:div>
        <w:div w:id="1646084868">
          <w:marLeft w:val="0"/>
          <w:marRight w:val="0"/>
          <w:marTop w:val="0"/>
          <w:marBottom w:val="0"/>
          <w:divBdr>
            <w:top w:val="none" w:sz="0" w:space="0" w:color="auto"/>
            <w:left w:val="none" w:sz="0" w:space="0" w:color="auto"/>
            <w:bottom w:val="none" w:sz="0" w:space="0" w:color="auto"/>
            <w:right w:val="none" w:sz="0" w:space="0" w:color="auto"/>
          </w:divBdr>
        </w:div>
      </w:divsChild>
    </w:div>
    <w:div w:id="386805217">
      <w:marLeft w:val="0"/>
      <w:marRight w:val="0"/>
      <w:marTop w:val="0"/>
      <w:marBottom w:val="0"/>
      <w:divBdr>
        <w:top w:val="none" w:sz="0" w:space="0" w:color="auto"/>
        <w:left w:val="none" w:sz="0" w:space="0" w:color="auto"/>
        <w:bottom w:val="none" w:sz="0" w:space="0" w:color="auto"/>
        <w:right w:val="none" w:sz="0" w:space="0" w:color="auto"/>
      </w:divBdr>
    </w:div>
    <w:div w:id="461073524">
      <w:marLeft w:val="0"/>
      <w:marRight w:val="0"/>
      <w:marTop w:val="0"/>
      <w:marBottom w:val="0"/>
      <w:divBdr>
        <w:top w:val="none" w:sz="0" w:space="0" w:color="auto"/>
        <w:left w:val="none" w:sz="0" w:space="0" w:color="auto"/>
        <w:bottom w:val="none" w:sz="0" w:space="0" w:color="auto"/>
        <w:right w:val="none" w:sz="0" w:space="0" w:color="auto"/>
      </w:divBdr>
    </w:div>
    <w:div w:id="550269062">
      <w:marLeft w:val="0"/>
      <w:marRight w:val="0"/>
      <w:marTop w:val="0"/>
      <w:marBottom w:val="0"/>
      <w:divBdr>
        <w:top w:val="none" w:sz="0" w:space="0" w:color="auto"/>
        <w:left w:val="none" w:sz="0" w:space="0" w:color="auto"/>
        <w:bottom w:val="none" w:sz="0" w:space="0" w:color="auto"/>
        <w:right w:val="none" w:sz="0" w:space="0" w:color="auto"/>
      </w:divBdr>
    </w:div>
    <w:div w:id="645672276">
      <w:marLeft w:val="0"/>
      <w:marRight w:val="0"/>
      <w:marTop w:val="120"/>
      <w:marBottom w:val="240"/>
      <w:divBdr>
        <w:top w:val="none" w:sz="0" w:space="0" w:color="auto"/>
        <w:left w:val="none" w:sz="0" w:space="0" w:color="auto"/>
        <w:bottom w:val="none" w:sz="0" w:space="0" w:color="auto"/>
        <w:right w:val="none" w:sz="0" w:space="0" w:color="auto"/>
      </w:divBdr>
    </w:div>
    <w:div w:id="712077945">
      <w:marLeft w:val="0"/>
      <w:marRight w:val="0"/>
      <w:marTop w:val="0"/>
      <w:marBottom w:val="0"/>
      <w:divBdr>
        <w:top w:val="none" w:sz="0" w:space="0" w:color="auto"/>
        <w:left w:val="none" w:sz="0" w:space="0" w:color="auto"/>
        <w:bottom w:val="none" w:sz="0" w:space="0" w:color="auto"/>
        <w:right w:val="none" w:sz="0" w:space="0" w:color="auto"/>
      </w:divBdr>
    </w:div>
    <w:div w:id="712584388">
      <w:marLeft w:val="0"/>
      <w:marRight w:val="0"/>
      <w:marTop w:val="240"/>
      <w:marBottom w:val="120"/>
      <w:divBdr>
        <w:top w:val="none" w:sz="0" w:space="0" w:color="auto"/>
        <w:left w:val="none" w:sz="0" w:space="0" w:color="auto"/>
        <w:bottom w:val="single" w:sz="8" w:space="0" w:color="000000"/>
        <w:right w:val="none" w:sz="0" w:space="0" w:color="auto"/>
      </w:divBdr>
    </w:div>
    <w:div w:id="782387770">
      <w:marLeft w:val="0"/>
      <w:marRight w:val="0"/>
      <w:marTop w:val="120"/>
      <w:marBottom w:val="240"/>
      <w:divBdr>
        <w:top w:val="none" w:sz="0" w:space="0" w:color="auto"/>
        <w:left w:val="none" w:sz="0" w:space="0" w:color="auto"/>
        <w:bottom w:val="none" w:sz="0" w:space="0" w:color="auto"/>
        <w:right w:val="none" w:sz="0" w:space="0" w:color="auto"/>
      </w:divBdr>
    </w:div>
    <w:div w:id="823398665">
      <w:marLeft w:val="0"/>
      <w:marRight w:val="0"/>
      <w:marTop w:val="0"/>
      <w:marBottom w:val="0"/>
      <w:divBdr>
        <w:top w:val="none" w:sz="0" w:space="0" w:color="auto"/>
        <w:left w:val="none" w:sz="0" w:space="0" w:color="auto"/>
        <w:bottom w:val="none" w:sz="0" w:space="0" w:color="auto"/>
        <w:right w:val="none" w:sz="0" w:space="0" w:color="auto"/>
      </w:divBdr>
    </w:div>
    <w:div w:id="853953671">
      <w:marLeft w:val="0"/>
      <w:marRight w:val="0"/>
      <w:marTop w:val="240"/>
      <w:marBottom w:val="120"/>
      <w:divBdr>
        <w:top w:val="none" w:sz="0" w:space="0" w:color="auto"/>
        <w:left w:val="none" w:sz="0" w:space="0" w:color="auto"/>
        <w:bottom w:val="single" w:sz="8" w:space="0" w:color="000000"/>
        <w:right w:val="none" w:sz="0" w:space="0" w:color="auto"/>
      </w:divBdr>
    </w:div>
    <w:div w:id="859512893">
      <w:marLeft w:val="0"/>
      <w:marRight w:val="0"/>
      <w:marTop w:val="240"/>
      <w:marBottom w:val="120"/>
      <w:divBdr>
        <w:top w:val="none" w:sz="0" w:space="0" w:color="auto"/>
        <w:left w:val="none" w:sz="0" w:space="0" w:color="auto"/>
        <w:bottom w:val="single" w:sz="8" w:space="0" w:color="000000"/>
        <w:right w:val="none" w:sz="0" w:space="0" w:color="auto"/>
      </w:divBdr>
    </w:div>
    <w:div w:id="918904644">
      <w:marLeft w:val="0"/>
      <w:marRight w:val="0"/>
      <w:marTop w:val="120"/>
      <w:marBottom w:val="240"/>
      <w:divBdr>
        <w:top w:val="none" w:sz="0" w:space="0" w:color="auto"/>
        <w:left w:val="none" w:sz="0" w:space="0" w:color="auto"/>
        <w:bottom w:val="none" w:sz="0" w:space="0" w:color="auto"/>
        <w:right w:val="none" w:sz="0" w:space="0" w:color="auto"/>
      </w:divBdr>
    </w:div>
    <w:div w:id="970784927">
      <w:marLeft w:val="0"/>
      <w:marRight w:val="0"/>
      <w:marTop w:val="0"/>
      <w:marBottom w:val="0"/>
      <w:divBdr>
        <w:top w:val="none" w:sz="0" w:space="0" w:color="auto"/>
        <w:left w:val="none" w:sz="0" w:space="0" w:color="auto"/>
        <w:bottom w:val="none" w:sz="0" w:space="0" w:color="auto"/>
        <w:right w:val="none" w:sz="0" w:space="0" w:color="auto"/>
      </w:divBdr>
      <w:divsChild>
        <w:div w:id="2113159978">
          <w:marLeft w:val="0"/>
          <w:marRight w:val="0"/>
          <w:marTop w:val="0"/>
          <w:marBottom w:val="0"/>
          <w:divBdr>
            <w:top w:val="single" w:sz="18" w:space="0" w:color="000000"/>
            <w:left w:val="none" w:sz="0" w:space="0" w:color="auto"/>
            <w:bottom w:val="single" w:sz="8" w:space="0" w:color="000000"/>
            <w:right w:val="none" w:sz="0" w:space="0" w:color="auto"/>
          </w:divBdr>
        </w:div>
      </w:divsChild>
    </w:div>
    <w:div w:id="1008094816">
      <w:marLeft w:val="0"/>
      <w:marRight w:val="0"/>
      <w:marTop w:val="120"/>
      <w:marBottom w:val="240"/>
      <w:divBdr>
        <w:top w:val="none" w:sz="0" w:space="0" w:color="auto"/>
        <w:left w:val="none" w:sz="0" w:space="0" w:color="auto"/>
        <w:bottom w:val="none" w:sz="0" w:space="0" w:color="auto"/>
        <w:right w:val="none" w:sz="0" w:space="0" w:color="auto"/>
      </w:divBdr>
    </w:div>
    <w:div w:id="1021124316">
      <w:marLeft w:val="0"/>
      <w:marRight w:val="0"/>
      <w:marTop w:val="120"/>
      <w:marBottom w:val="240"/>
      <w:divBdr>
        <w:top w:val="none" w:sz="0" w:space="0" w:color="auto"/>
        <w:left w:val="none" w:sz="0" w:space="0" w:color="auto"/>
        <w:bottom w:val="none" w:sz="0" w:space="0" w:color="auto"/>
        <w:right w:val="none" w:sz="0" w:space="0" w:color="auto"/>
      </w:divBdr>
    </w:div>
    <w:div w:id="1155220147">
      <w:marLeft w:val="0"/>
      <w:marRight w:val="0"/>
      <w:marTop w:val="120"/>
      <w:marBottom w:val="240"/>
      <w:divBdr>
        <w:top w:val="none" w:sz="0" w:space="0" w:color="auto"/>
        <w:left w:val="none" w:sz="0" w:space="0" w:color="auto"/>
        <w:bottom w:val="none" w:sz="0" w:space="0" w:color="auto"/>
        <w:right w:val="none" w:sz="0" w:space="0" w:color="auto"/>
      </w:divBdr>
    </w:div>
    <w:div w:id="1176729522">
      <w:marLeft w:val="0"/>
      <w:marRight w:val="0"/>
      <w:marTop w:val="240"/>
      <w:marBottom w:val="120"/>
      <w:divBdr>
        <w:top w:val="none" w:sz="0" w:space="0" w:color="auto"/>
        <w:left w:val="none" w:sz="0" w:space="0" w:color="auto"/>
        <w:bottom w:val="single" w:sz="8" w:space="0" w:color="000000"/>
        <w:right w:val="none" w:sz="0" w:space="0" w:color="auto"/>
      </w:divBdr>
    </w:div>
    <w:div w:id="1237128075">
      <w:marLeft w:val="0"/>
      <w:marRight w:val="0"/>
      <w:marTop w:val="0"/>
      <w:marBottom w:val="0"/>
      <w:divBdr>
        <w:top w:val="none" w:sz="0" w:space="0" w:color="auto"/>
        <w:left w:val="none" w:sz="0" w:space="0" w:color="auto"/>
        <w:bottom w:val="none" w:sz="0" w:space="0" w:color="auto"/>
        <w:right w:val="none" w:sz="0" w:space="0" w:color="auto"/>
      </w:divBdr>
      <w:divsChild>
        <w:div w:id="574827966">
          <w:marLeft w:val="0"/>
          <w:marRight w:val="0"/>
          <w:marTop w:val="0"/>
          <w:marBottom w:val="0"/>
          <w:divBdr>
            <w:top w:val="none" w:sz="0" w:space="0" w:color="auto"/>
            <w:left w:val="none" w:sz="0" w:space="0" w:color="auto"/>
            <w:bottom w:val="none" w:sz="0" w:space="0" w:color="auto"/>
            <w:right w:val="none" w:sz="0" w:space="0" w:color="auto"/>
          </w:divBdr>
        </w:div>
        <w:div w:id="1575775562">
          <w:marLeft w:val="0"/>
          <w:marRight w:val="0"/>
          <w:marTop w:val="0"/>
          <w:marBottom w:val="0"/>
          <w:divBdr>
            <w:top w:val="none" w:sz="0" w:space="0" w:color="auto"/>
            <w:left w:val="none" w:sz="0" w:space="0" w:color="auto"/>
            <w:bottom w:val="none" w:sz="0" w:space="0" w:color="auto"/>
            <w:right w:val="none" w:sz="0" w:space="0" w:color="auto"/>
          </w:divBdr>
        </w:div>
        <w:div w:id="1203395720">
          <w:marLeft w:val="0"/>
          <w:marRight w:val="0"/>
          <w:marTop w:val="0"/>
          <w:marBottom w:val="0"/>
          <w:divBdr>
            <w:top w:val="none" w:sz="0" w:space="0" w:color="auto"/>
            <w:left w:val="none" w:sz="0" w:space="0" w:color="auto"/>
            <w:bottom w:val="none" w:sz="0" w:space="0" w:color="auto"/>
            <w:right w:val="none" w:sz="0" w:space="0" w:color="auto"/>
          </w:divBdr>
        </w:div>
        <w:div w:id="2073698974">
          <w:marLeft w:val="0"/>
          <w:marRight w:val="0"/>
          <w:marTop w:val="0"/>
          <w:marBottom w:val="0"/>
          <w:divBdr>
            <w:top w:val="none" w:sz="0" w:space="0" w:color="auto"/>
            <w:left w:val="none" w:sz="0" w:space="0" w:color="auto"/>
            <w:bottom w:val="none" w:sz="0" w:space="0" w:color="auto"/>
            <w:right w:val="none" w:sz="0" w:space="0" w:color="auto"/>
          </w:divBdr>
        </w:div>
        <w:div w:id="608510412">
          <w:marLeft w:val="0"/>
          <w:marRight w:val="0"/>
          <w:marTop w:val="0"/>
          <w:marBottom w:val="0"/>
          <w:divBdr>
            <w:top w:val="none" w:sz="0" w:space="0" w:color="auto"/>
            <w:left w:val="none" w:sz="0" w:space="0" w:color="auto"/>
            <w:bottom w:val="none" w:sz="0" w:space="0" w:color="auto"/>
            <w:right w:val="none" w:sz="0" w:space="0" w:color="auto"/>
          </w:divBdr>
        </w:div>
        <w:div w:id="259291951">
          <w:marLeft w:val="0"/>
          <w:marRight w:val="0"/>
          <w:marTop w:val="0"/>
          <w:marBottom w:val="0"/>
          <w:divBdr>
            <w:top w:val="none" w:sz="0" w:space="0" w:color="auto"/>
            <w:left w:val="none" w:sz="0" w:space="0" w:color="auto"/>
            <w:bottom w:val="none" w:sz="0" w:space="0" w:color="auto"/>
            <w:right w:val="none" w:sz="0" w:space="0" w:color="auto"/>
          </w:divBdr>
        </w:div>
        <w:div w:id="1909681382">
          <w:marLeft w:val="0"/>
          <w:marRight w:val="0"/>
          <w:marTop w:val="0"/>
          <w:marBottom w:val="0"/>
          <w:divBdr>
            <w:top w:val="none" w:sz="0" w:space="0" w:color="auto"/>
            <w:left w:val="none" w:sz="0" w:space="0" w:color="auto"/>
            <w:bottom w:val="none" w:sz="0" w:space="0" w:color="auto"/>
            <w:right w:val="none" w:sz="0" w:space="0" w:color="auto"/>
          </w:divBdr>
        </w:div>
        <w:div w:id="1805930931">
          <w:marLeft w:val="0"/>
          <w:marRight w:val="0"/>
          <w:marTop w:val="0"/>
          <w:marBottom w:val="0"/>
          <w:divBdr>
            <w:top w:val="none" w:sz="0" w:space="0" w:color="auto"/>
            <w:left w:val="none" w:sz="0" w:space="0" w:color="auto"/>
            <w:bottom w:val="none" w:sz="0" w:space="0" w:color="auto"/>
            <w:right w:val="none" w:sz="0" w:space="0" w:color="auto"/>
          </w:divBdr>
        </w:div>
        <w:div w:id="1513521105">
          <w:marLeft w:val="0"/>
          <w:marRight w:val="0"/>
          <w:marTop w:val="0"/>
          <w:marBottom w:val="0"/>
          <w:divBdr>
            <w:top w:val="none" w:sz="0" w:space="0" w:color="auto"/>
            <w:left w:val="none" w:sz="0" w:space="0" w:color="auto"/>
            <w:bottom w:val="none" w:sz="0" w:space="0" w:color="auto"/>
            <w:right w:val="none" w:sz="0" w:space="0" w:color="auto"/>
          </w:divBdr>
        </w:div>
        <w:div w:id="469057287">
          <w:marLeft w:val="0"/>
          <w:marRight w:val="0"/>
          <w:marTop w:val="0"/>
          <w:marBottom w:val="0"/>
          <w:divBdr>
            <w:top w:val="none" w:sz="0" w:space="0" w:color="auto"/>
            <w:left w:val="none" w:sz="0" w:space="0" w:color="auto"/>
            <w:bottom w:val="none" w:sz="0" w:space="0" w:color="auto"/>
            <w:right w:val="none" w:sz="0" w:space="0" w:color="auto"/>
          </w:divBdr>
        </w:div>
        <w:div w:id="265892383">
          <w:marLeft w:val="0"/>
          <w:marRight w:val="0"/>
          <w:marTop w:val="0"/>
          <w:marBottom w:val="0"/>
          <w:divBdr>
            <w:top w:val="none" w:sz="0" w:space="0" w:color="auto"/>
            <w:left w:val="none" w:sz="0" w:space="0" w:color="auto"/>
            <w:bottom w:val="none" w:sz="0" w:space="0" w:color="auto"/>
            <w:right w:val="none" w:sz="0" w:space="0" w:color="auto"/>
          </w:divBdr>
        </w:div>
        <w:div w:id="2020882772">
          <w:marLeft w:val="0"/>
          <w:marRight w:val="0"/>
          <w:marTop w:val="0"/>
          <w:marBottom w:val="0"/>
          <w:divBdr>
            <w:top w:val="none" w:sz="0" w:space="0" w:color="auto"/>
            <w:left w:val="none" w:sz="0" w:space="0" w:color="auto"/>
            <w:bottom w:val="none" w:sz="0" w:space="0" w:color="auto"/>
            <w:right w:val="none" w:sz="0" w:space="0" w:color="auto"/>
          </w:divBdr>
        </w:div>
        <w:div w:id="1887374362">
          <w:marLeft w:val="0"/>
          <w:marRight w:val="0"/>
          <w:marTop w:val="0"/>
          <w:marBottom w:val="0"/>
          <w:divBdr>
            <w:top w:val="none" w:sz="0" w:space="0" w:color="auto"/>
            <w:left w:val="none" w:sz="0" w:space="0" w:color="auto"/>
            <w:bottom w:val="none" w:sz="0" w:space="0" w:color="auto"/>
            <w:right w:val="none" w:sz="0" w:space="0" w:color="auto"/>
          </w:divBdr>
        </w:div>
        <w:div w:id="1276447661">
          <w:marLeft w:val="0"/>
          <w:marRight w:val="0"/>
          <w:marTop w:val="0"/>
          <w:marBottom w:val="0"/>
          <w:divBdr>
            <w:top w:val="none" w:sz="0" w:space="0" w:color="auto"/>
            <w:left w:val="none" w:sz="0" w:space="0" w:color="auto"/>
            <w:bottom w:val="none" w:sz="0" w:space="0" w:color="auto"/>
            <w:right w:val="none" w:sz="0" w:space="0" w:color="auto"/>
          </w:divBdr>
        </w:div>
        <w:div w:id="2025521881">
          <w:marLeft w:val="0"/>
          <w:marRight w:val="0"/>
          <w:marTop w:val="0"/>
          <w:marBottom w:val="0"/>
          <w:divBdr>
            <w:top w:val="none" w:sz="0" w:space="0" w:color="auto"/>
            <w:left w:val="none" w:sz="0" w:space="0" w:color="auto"/>
            <w:bottom w:val="none" w:sz="0" w:space="0" w:color="auto"/>
            <w:right w:val="none" w:sz="0" w:space="0" w:color="auto"/>
          </w:divBdr>
        </w:div>
        <w:div w:id="1330791094">
          <w:marLeft w:val="0"/>
          <w:marRight w:val="0"/>
          <w:marTop w:val="0"/>
          <w:marBottom w:val="0"/>
          <w:divBdr>
            <w:top w:val="none" w:sz="0" w:space="0" w:color="auto"/>
            <w:left w:val="none" w:sz="0" w:space="0" w:color="auto"/>
            <w:bottom w:val="none" w:sz="0" w:space="0" w:color="auto"/>
            <w:right w:val="none" w:sz="0" w:space="0" w:color="auto"/>
          </w:divBdr>
        </w:div>
        <w:div w:id="1384982897">
          <w:marLeft w:val="0"/>
          <w:marRight w:val="0"/>
          <w:marTop w:val="0"/>
          <w:marBottom w:val="0"/>
          <w:divBdr>
            <w:top w:val="none" w:sz="0" w:space="0" w:color="auto"/>
            <w:left w:val="none" w:sz="0" w:space="0" w:color="auto"/>
            <w:bottom w:val="none" w:sz="0" w:space="0" w:color="auto"/>
            <w:right w:val="none" w:sz="0" w:space="0" w:color="auto"/>
          </w:divBdr>
        </w:div>
        <w:div w:id="1832596529">
          <w:marLeft w:val="0"/>
          <w:marRight w:val="0"/>
          <w:marTop w:val="0"/>
          <w:marBottom w:val="0"/>
          <w:divBdr>
            <w:top w:val="none" w:sz="0" w:space="0" w:color="auto"/>
            <w:left w:val="none" w:sz="0" w:space="0" w:color="auto"/>
            <w:bottom w:val="none" w:sz="0" w:space="0" w:color="auto"/>
            <w:right w:val="none" w:sz="0" w:space="0" w:color="auto"/>
          </w:divBdr>
        </w:div>
      </w:divsChild>
    </w:div>
    <w:div w:id="1251308388">
      <w:marLeft w:val="0"/>
      <w:marRight w:val="0"/>
      <w:marTop w:val="0"/>
      <w:marBottom w:val="0"/>
      <w:divBdr>
        <w:top w:val="none" w:sz="0" w:space="0" w:color="auto"/>
        <w:left w:val="none" w:sz="0" w:space="0" w:color="auto"/>
        <w:bottom w:val="none" w:sz="0" w:space="0" w:color="auto"/>
        <w:right w:val="none" w:sz="0" w:space="0" w:color="auto"/>
      </w:divBdr>
      <w:divsChild>
        <w:div w:id="534118422">
          <w:marLeft w:val="0"/>
          <w:marRight w:val="0"/>
          <w:marTop w:val="0"/>
          <w:marBottom w:val="0"/>
          <w:divBdr>
            <w:top w:val="single" w:sz="8" w:space="0" w:color="000000"/>
            <w:left w:val="none" w:sz="0" w:space="0" w:color="auto"/>
            <w:bottom w:val="none" w:sz="0" w:space="0" w:color="auto"/>
            <w:right w:val="none" w:sz="0" w:space="0" w:color="auto"/>
          </w:divBdr>
        </w:div>
      </w:divsChild>
    </w:div>
    <w:div w:id="1287857529">
      <w:marLeft w:val="0"/>
      <w:marRight w:val="0"/>
      <w:marTop w:val="0"/>
      <w:marBottom w:val="0"/>
      <w:divBdr>
        <w:top w:val="none" w:sz="0" w:space="0" w:color="auto"/>
        <w:left w:val="none" w:sz="0" w:space="0" w:color="auto"/>
        <w:bottom w:val="none" w:sz="0" w:space="0" w:color="auto"/>
        <w:right w:val="none" w:sz="0" w:space="0" w:color="auto"/>
      </w:divBdr>
      <w:divsChild>
        <w:div w:id="1291520259">
          <w:marLeft w:val="0"/>
          <w:marRight w:val="0"/>
          <w:marTop w:val="0"/>
          <w:marBottom w:val="0"/>
          <w:divBdr>
            <w:top w:val="single" w:sz="8" w:space="0" w:color="000000"/>
            <w:left w:val="none" w:sz="0" w:space="0" w:color="auto"/>
            <w:bottom w:val="single" w:sz="18" w:space="0" w:color="000000"/>
            <w:right w:val="none" w:sz="0" w:space="0" w:color="auto"/>
          </w:divBdr>
        </w:div>
      </w:divsChild>
    </w:div>
    <w:div w:id="1310281658">
      <w:marLeft w:val="0"/>
      <w:marRight w:val="0"/>
      <w:marTop w:val="0"/>
      <w:marBottom w:val="0"/>
      <w:divBdr>
        <w:top w:val="none" w:sz="0" w:space="0" w:color="auto"/>
        <w:left w:val="none" w:sz="0" w:space="0" w:color="auto"/>
        <w:bottom w:val="none" w:sz="0" w:space="0" w:color="auto"/>
        <w:right w:val="none" w:sz="0" w:space="0" w:color="auto"/>
      </w:divBdr>
    </w:div>
    <w:div w:id="1313484509">
      <w:marLeft w:val="0"/>
      <w:marRight w:val="0"/>
      <w:marTop w:val="240"/>
      <w:marBottom w:val="120"/>
      <w:divBdr>
        <w:top w:val="none" w:sz="0" w:space="0" w:color="auto"/>
        <w:left w:val="none" w:sz="0" w:space="0" w:color="auto"/>
        <w:bottom w:val="single" w:sz="8" w:space="0" w:color="000000"/>
        <w:right w:val="none" w:sz="0" w:space="0" w:color="auto"/>
      </w:divBdr>
    </w:div>
    <w:div w:id="1342783929">
      <w:marLeft w:val="0"/>
      <w:marRight w:val="0"/>
      <w:marTop w:val="240"/>
      <w:marBottom w:val="120"/>
      <w:divBdr>
        <w:top w:val="none" w:sz="0" w:space="0" w:color="auto"/>
        <w:left w:val="none" w:sz="0" w:space="0" w:color="auto"/>
        <w:bottom w:val="single" w:sz="8" w:space="0" w:color="000000"/>
        <w:right w:val="none" w:sz="0" w:space="0" w:color="auto"/>
      </w:divBdr>
    </w:div>
    <w:div w:id="1415470966">
      <w:marLeft w:val="0"/>
      <w:marRight w:val="0"/>
      <w:marTop w:val="120"/>
      <w:marBottom w:val="240"/>
      <w:divBdr>
        <w:top w:val="none" w:sz="0" w:space="0" w:color="auto"/>
        <w:left w:val="none" w:sz="0" w:space="0" w:color="auto"/>
        <w:bottom w:val="none" w:sz="0" w:space="0" w:color="auto"/>
        <w:right w:val="none" w:sz="0" w:space="0" w:color="auto"/>
      </w:divBdr>
    </w:div>
    <w:div w:id="1432504507">
      <w:marLeft w:val="0"/>
      <w:marRight w:val="0"/>
      <w:marTop w:val="240"/>
      <w:marBottom w:val="120"/>
      <w:divBdr>
        <w:top w:val="none" w:sz="0" w:space="0" w:color="auto"/>
        <w:left w:val="none" w:sz="0" w:space="0" w:color="auto"/>
        <w:bottom w:val="single" w:sz="8" w:space="0" w:color="000000"/>
        <w:right w:val="none" w:sz="0" w:space="0" w:color="auto"/>
      </w:divBdr>
    </w:div>
    <w:div w:id="1457140667">
      <w:marLeft w:val="0"/>
      <w:marRight w:val="0"/>
      <w:marTop w:val="0"/>
      <w:marBottom w:val="0"/>
      <w:divBdr>
        <w:top w:val="none" w:sz="0" w:space="0" w:color="auto"/>
        <w:left w:val="none" w:sz="0" w:space="0" w:color="auto"/>
        <w:bottom w:val="none" w:sz="0" w:space="0" w:color="auto"/>
        <w:right w:val="none" w:sz="0" w:space="0" w:color="auto"/>
      </w:divBdr>
    </w:div>
    <w:div w:id="1530223067">
      <w:marLeft w:val="0"/>
      <w:marRight w:val="0"/>
      <w:marTop w:val="120"/>
      <w:marBottom w:val="240"/>
      <w:divBdr>
        <w:top w:val="none" w:sz="0" w:space="0" w:color="auto"/>
        <w:left w:val="none" w:sz="0" w:space="0" w:color="auto"/>
        <w:bottom w:val="none" w:sz="0" w:space="0" w:color="auto"/>
        <w:right w:val="none" w:sz="0" w:space="0" w:color="auto"/>
      </w:divBdr>
    </w:div>
    <w:div w:id="1535462957">
      <w:marLeft w:val="0"/>
      <w:marRight w:val="0"/>
      <w:marTop w:val="240"/>
      <w:marBottom w:val="120"/>
      <w:divBdr>
        <w:top w:val="none" w:sz="0" w:space="0" w:color="auto"/>
        <w:left w:val="none" w:sz="0" w:space="0" w:color="auto"/>
        <w:bottom w:val="single" w:sz="8" w:space="0" w:color="000000"/>
        <w:right w:val="none" w:sz="0" w:space="0" w:color="auto"/>
      </w:divBdr>
    </w:div>
    <w:div w:id="1608541064">
      <w:marLeft w:val="0"/>
      <w:marRight w:val="0"/>
      <w:marTop w:val="0"/>
      <w:marBottom w:val="0"/>
      <w:divBdr>
        <w:top w:val="none" w:sz="0" w:space="0" w:color="auto"/>
        <w:left w:val="none" w:sz="0" w:space="0" w:color="auto"/>
        <w:bottom w:val="none" w:sz="0" w:space="0" w:color="auto"/>
        <w:right w:val="none" w:sz="0" w:space="0" w:color="auto"/>
      </w:divBdr>
    </w:div>
    <w:div w:id="1750881855">
      <w:marLeft w:val="0"/>
      <w:marRight w:val="0"/>
      <w:marTop w:val="240"/>
      <w:marBottom w:val="120"/>
      <w:divBdr>
        <w:top w:val="none" w:sz="0" w:space="0" w:color="auto"/>
        <w:left w:val="none" w:sz="0" w:space="0" w:color="auto"/>
        <w:bottom w:val="single" w:sz="8" w:space="0" w:color="000000"/>
        <w:right w:val="none" w:sz="0" w:space="0" w:color="auto"/>
      </w:divBdr>
    </w:div>
    <w:div w:id="1803233694">
      <w:marLeft w:val="0"/>
      <w:marRight w:val="0"/>
      <w:marTop w:val="240"/>
      <w:marBottom w:val="120"/>
      <w:divBdr>
        <w:top w:val="none" w:sz="0" w:space="0" w:color="auto"/>
        <w:left w:val="none" w:sz="0" w:space="0" w:color="auto"/>
        <w:bottom w:val="single" w:sz="8" w:space="0" w:color="000000"/>
        <w:right w:val="none" w:sz="0" w:space="0" w:color="auto"/>
      </w:divBdr>
    </w:div>
    <w:div w:id="1951426319">
      <w:marLeft w:val="0"/>
      <w:marRight w:val="0"/>
      <w:marTop w:val="0"/>
      <w:marBottom w:val="0"/>
      <w:divBdr>
        <w:top w:val="none" w:sz="0" w:space="0" w:color="auto"/>
        <w:left w:val="none" w:sz="0" w:space="0" w:color="auto"/>
        <w:bottom w:val="none" w:sz="0" w:space="0" w:color="auto"/>
        <w:right w:val="none" w:sz="0" w:space="0" w:color="auto"/>
      </w:divBdr>
    </w:div>
    <w:div w:id="1962612913">
      <w:marLeft w:val="0"/>
      <w:marRight w:val="0"/>
      <w:marTop w:val="0"/>
      <w:marBottom w:val="0"/>
      <w:divBdr>
        <w:top w:val="none" w:sz="0" w:space="0" w:color="auto"/>
        <w:left w:val="none" w:sz="0" w:space="0" w:color="auto"/>
        <w:bottom w:val="none" w:sz="0" w:space="0" w:color="auto"/>
        <w:right w:val="none" w:sz="0" w:space="0" w:color="auto"/>
      </w:divBdr>
    </w:div>
    <w:div w:id="2096321319">
      <w:marLeft w:val="0"/>
      <w:marRight w:val="0"/>
      <w:marTop w:val="240"/>
      <w:marBottom w:val="120"/>
      <w:divBdr>
        <w:top w:val="none" w:sz="0" w:space="0" w:color="auto"/>
        <w:left w:val="none" w:sz="0" w:space="0" w:color="auto"/>
        <w:bottom w:val="single" w:sz="8" w:space="0" w:color="000000"/>
        <w:right w:val="none" w:sz="0" w:space="0" w:color="auto"/>
      </w:divBdr>
    </w:div>
    <w:div w:id="2141148854">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file:///T:\tm2326531-1\tm2326531-1_6kseq1\captures\v004.01-2023-09-21-03-29-35-utc-111407-ClientDraft-D3.1\tm2326531d1_ex99-2img007.jpg" TargetMode="External"/><Relationship Id="rId21" Type="http://schemas.openxmlformats.org/officeDocument/2006/relationships/image" Target="media/image6.jpeg"/><Relationship Id="rId42" Type="http://schemas.openxmlformats.org/officeDocument/2006/relationships/image" Target="file:///T:\tm2326531-1\tm2326531-1_6kseq1\captures\v004.01-2023-09-21-03-29-35-utc-111407-ClientDraft-D3.1\tm2326531d1_ex99-2img015.jpg" TargetMode="External"/><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file:///T:\tm2326531-1\tm2326531-1_6kseq1\captures\v004.01-2023-09-21-03-29-35-utc-111407-ClientDraft-D3.1\tm2326531d1_ex99-3img013.jpg" TargetMode="External"/><Relationship Id="rId16" Type="http://schemas.openxmlformats.org/officeDocument/2006/relationships/image" Target="file:///T:\tm2326531-1\tm2326531-1_6kseq1\captures\v004.01-2023-09-21-03-29-35-utc-111407-ClientDraft-D3.1\tm2326531d1_ex99-2img002.jpg" TargetMode="External"/><Relationship Id="rId11" Type="http://schemas.openxmlformats.org/officeDocument/2006/relationships/image" Target="media/image1.jpeg"/><Relationship Id="rId24" Type="http://schemas.openxmlformats.org/officeDocument/2006/relationships/image" Target="file:///T:\tm2326531-1\tm2326531-1_6kseq1\captures\v004.01-2023-09-21-03-29-35-utc-111407-ClientDraft-D3.1\tm2326531d1_ex99-2img006.jpg" TargetMode="External"/><Relationship Id="rId32" Type="http://schemas.openxmlformats.org/officeDocument/2006/relationships/image" Target="file:///T:\tm2326531-1\tm2326531-1_6kseq1\captures\v004.01-2023-09-21-03-29-35-utc-111407-ClientDraft-D3.1\tm2326531d1_ex99-2img010.jpg" TargetMode="External"/><Relationship Id="rId37" Type="http://schemas.openxmlformats.org/officeDocument/2006/relationships/image" Target="media/image14.jpeg"/><Relationship Id="rId40" Type="http://schemas.openxmlformats.org/officeDocument/2006/relationships/image" Target="file:///T:\tm2326531-1\tm2326531-1_6kseq1\captures\v004.01-2023-09-21-03-29-35-utc-111407-ClientDraft-D3.1\tm2326531d1_ex99-2img014.jpg" TargetMode="External"/><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image" Target="file:///T:\tm2326531-1\tm2326531-1_6kseq1\captures\v004.01-2023-09-21-03-29-35-utc-111407-ClientDraft-D3.1\tm2326531d1_ex99-3img008.jpg" TargetMode="External"/><Relationship Id="rId66" Type="http://schemas.openxmlformats.org/officeDocument/2006/relationships/image" Target="file:///T:\tm2326531-1\tm2326531-1_6kseq1\captures\v004.01-2023-09-21-03-29-35-utc-111407-ClientDraft-D3.1\tm2326531d1_ex99-3img012.jpg" TargetMode="External"/><Relationship Id="rId74" Type="http://schemas.openxmlformats.org/officeDocument/2006/relationships/image" Target="file:///T:\tm2326531-1\tm2326531-1_6kseq1\captures\v004.01-2023-09-21-03-29-35-utc-111407-ClientDraft-D3.1\tm2326531d1_ex99-3img016.jpg" TargetMode="External"/><Relationship Id="rId79" Type="http://schemas.openxmlformats.org/officeDocument/2006/relationships/fontTable" Target="fontTable.xml"/><Relationship Id="rId5" Type="http://schemas.openxmlformats.org/officeDocument/2006/relationships/hyperlink" Target="file:///\\tm.toppanmerrill.com\chi4\ActiveJobs\tm2326531-1\tm2326531-1_6kseq1\captures\v004.01-2023-09-21-03-29-35-utc-111407-ClientDraft-D3.1\tm2326531d1_ex99-1.htm" TargetMode="External"/><Relationship Id="rId61" Type="http://schemas.openxmlformats.org/officeDocument/2006/relationships/image" Target="media/image26.jpeg"/><Relationship Id="rId19" Type="http://schemas.openxmlformats.org/officeDocument/2006/relationships/image" Target="media/image5.jpeg"/><Relationship Id="rId14" Type="http://schemas.openxmlformats.org/officeDocument/2006/relationships/image" Target="file:///T:\tm2326531-1\tm2326531-1_6kseq1\captures\v004.01-2023-09-21-03-29-35-utc-111407-ClientDraft-D3.1\tm2326531d1_ex99-2img001.jpg" TargetMode="External"/><Relationship Id="rId22" Type="http://schemas.openxmlformats.org/officeDocument/2006/relationships/image" Target="file:///T:\tm2326531-1\tm2326531-1_6kseq1\captures\v004.01-2023-09-21-03-29-35-utc-111407-ClientDraft-D3.1\tm2326531d1_ex99-2img005.jpg" TargetMode="External"/><Relationship Id="rId27" Type="http://schemas.openxmlformats.org/officeDocument/2006/relationships/image" Target="media/image9.jpeg"/><Relationship Id="rId30" Type="http://schemas.openxmlformats.org/officeDocument/2006/relationships/image" Target="file:///T:\tm2326531-1\tm2326531-1_6kseq1\captures\v004.01-2023-09-21-03-29-35-utc-111407-ClientDraft-D3.1\tm2326531d1_ex99-2img009.jpg"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file:///T:\tm2326531-1\tm2326531-1_6kseq1\captures\v004.01-2023-09-21-03-29-35-utc-111407-ClientDraft-D3.1\tm2326531d1_ex99-3img003.jpg" TargetMode="External"/><Relationship Id="rId56" Type="http://schemas.openxmlformats.org/officeDocument/2006/relationships/image" Target="file:///T:\tm2326531-1\tm2326531-1_6kseq1\captures\v004.01-2023-09-21-03-29-35-utc-111407-ClientDraft-D3.1\tm2326531d1_ex99-3img007.jpg" TargetMode="External"/><Relationship Id="rId64" Type="http://schemas.openxmlformats.org/officeDocument/2006/relationships/image" Target="file:///T:\tm2326531-1\tm2326531-1_6kseq1\captures\v004.01-2023-09-21-03-29-35-utc-111407-ClientDraft-D3.1\tm2326531d1_ex99-3img011.jpg" TargetMode="External"/><Relationship Id="rId69" Type="http://schemas.openxmlformats.org/officeDocument/2006/relationships/image" Target="media/image30.jpeg"/><Relationship Id="rId77" Type="http://schemas.openxmlformats.org/officeDocument/2006/relationships/image" Target="media/image34.jpeg"/><Relationship Id="rId8" Type="http://schemas.openxmlformats.org/officeDocument/2006/relationships/hyperlink" Target="file:///\\tm.toppanmerrill.com\chi4\ActiveJobs\tm2326531-1\tm2326531-1_6kseq1\captures\v004.01-2023-09-21-03-29-35-utc-111407-ClientDraft-D3.1\tm2326531d1_ex99-2.htm" TargetMode="External"/><Relationship Id="rId51" Type="http://schemas.openxmlformats.org/officeDocument/2006/relationships/image" Target="media/image21.jpeg"/><Relationship Id="rId72" Type="http://schemas.openxmlformats.org/officeDocument/2006/relationships/image" Target="file:///T:\tm2326531-1\tm2326531-1_6kseq1\captures\v004.01-2023-09-21-03-29-35-utc-111407-ClientDraft-D3.1\tm2326531d1_ex99-3img015.jpg" TargetMode="Externa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file:///T:\tm2326531-1\tm2326531-1_6kseq1\captures\v004.01-2023-09-21-03-29-35-utc-111407-ClientDraft-D3.1\tm2326531d1_ex99-1img001.jpg"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file:///T:\tm2326531-1\tm2326531-1_6kseq1\captures\v004.01-2023-09-21-03-29-35-utc-111407-ClientDraft-D3.1\tm2326531d1_ex99-2img013.jpg" TargetMode="External"/><Relationship Id="rId46" Type="http://schemas.openxmlformats.org/officeDocument/2006/relationships/image" Target="file:///T:\tm2326531-1\tm2326531-1_6kseq1\captures\v004.01-2023-09-21-03-29-35-utc-111407-ClientDraft-D3.1\tm2326531d1_ex99-3img002.jpg" TargetMode="External"/><Relationship Id="rId59" Type="http://schemas.openxmlformats.org/officeDocument/2006/relationships/image" Target="media/image25.jpeg"/><Relationship Id="rId67" Type="http://schemas.openxmlformats.org/officeDocument/2006/relationships/image" Target="media/image29.jpeg"/><Relationship Id="rId20" Type="http://schemas.openxmlformats.org/officeDocument/2006/relationships/image" Target="file:///T:\tm2326531-1\tm2326531-1_6kseq1\captures\v004.01-2023-09-21-03-29-35-utc-111407-ClientDraft-D3.1\tm2326531d1_ex99-2img004.jpg" TargetMode="External"/><Relationship Id="rId41" Type="http://schemas.openxmlformats.org/officeDocument/2006/relationships/image" Target="media/image16.jpeg"/><Relationship Id="rId54" Type="http://schemas.openxmlformats.org/officeDocument/2006/relationships/image" Target="file:///T:\tm2326531-1\tm2326531-1_6kseq1\captures\v004.01-2023-09-21-03-29-35-utc-111407-ClientDraft-D3.1\tm2326531d1_ex99-3img006.jpg" TargetMode="External"/><Relationship Id="rId62" Type="http://schemas.openxmlformats.org/officeDocument/2006/relationships/image" Target="file:///T:\tm2326531-1\tm2326531-1_6kseq1\captures\v004.01-2023-09-21-03-29-35-utc-111407-ClientDraft-D3.1\tm2326531d1_ex99-3img010.jpg" TargetMode="External"/><Relationship Id="rId70" Type="http://schemas.openxmlformats.org/officeDocument/2006/relationships/image" Target="file:///T:\tm2326531-1\tm2326531-1_6kseq1\captures\v004.01-2023-09-21-03-29-35-utc-111407-ClientDraft-D3.1\tm2326531d1_ex99-3img014.jpg" TargetMode="External"/><Relationship Id="rId75"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hyperlink" Target="file:///\\tm.toppanmerrill.com\chi4\ActiveJobs\tm2326531-1\tm2326531-1_6kseq1\captures\v004.01-2023-09-21-03-29-35-utc-111407-ClientDraft-D3.1\tm2326531d1_ex99-1.htm"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file:///T:\tm2326531-1\tm2326531-1_6kseq1\captures\v004.01-2023-09-21-03-29-35-utc-111407-ClientDraft-D3.1\tm2326531d1_ex99-2img008.jpg" TargetMode="External"/><Relationship Id="rId36" Type="http://schemas.openxmlformats.org/officeDocument/2006/relationships/image" Target="file:///T:\tm2326531-1\tm2326531-1_6kseq1\captures\v004.01-2023-09-21-03-29-35-utc-111407-ClientDraft-D3.1\tm2326531d1_ex99-2img012.jpg" TargetMode="External"/><Relationship Id="rId49" Type="http://schemas.openxmlformats.org/officeDocument/2006/relationships/image" Target="media/image20.jpeg"/><Relationship Id="rId57" Type="http://schemas.openxmlformats.org/officeDocument/2006/relationships/image" Target="media/image24.jpeg"/><Relationship Id="rId10" Type="http://schemas.openxmlformats.org/officeDocument/2006/relationships/hyperlink" Target="file:///\\tm.toppanmerrill.com\chi4\ActiveJobs\tm2326531-1\tm2326531-1_6kseq1\captures\v004.01-2023-09-21-03-29-35-utc-111407-ClientDraft-D3.1\tm2326531d1_ex99-3.htm" TargetMode="External"/><Relationship Id="rId31" Type="http://schemas.openxmlformats.org/officeDocument/2006/relationships/image" Target="media/image11.jpeg"/><Relationship Id="rId44" Type="http://schemas.openxmlformats.org/officeDocument/2006/relationships/image" Target="file:///T:\tm2326531-1\tm2326531-1_6kseq1\captures\v004.01-2023-09-21-03-29-35-utc-111407-ClientDraft-D3.1\tm2326531d1_ex99-3img001.jpg" TargetMode="External"/><Relationship Id="rId52" Type="http://schemas.openxmlformats.org/officeDocument/2006/relationships/image" Target="file:///T:\tm2326531-1\tm2326531-1_6kseq1\captures\v004.01-2023-09-21-03-29-35-utc-111407-ClientDraft-D3.1\tm2326531d1_ex99-3img005.jpg" TargetMode="External"/><Relationship Id="rId60" Type="http://schemas.openxmlformats.org/officeDocument/2006/relationships/image" Target="file:///T:\tm2326531-1\tm2326531-1_6kseq1\captures\v004.01-2023-09-21-03-29-35-utc-111407-ClientDraft-D3.1\tm2326531d1_ex99-3img009.jpg"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image" Target="file:///T:\tm2326531-1\tm2326531-1_6kseq1\captures\v004.01-2023-09-21-03-29-35-utc-111407-ClientDraft-D3.1\tm2326531d1_ex99-3img018.jpg" TargetMode="External"/><Relationship Id="rId4" Type="http://schemas.openxmlformats.org/officeDocument/2006/relationships/hyperlink" Target="https://www.sec.gov/Archives/edgar/data/1166834/000110465923069887/tm2318344d1_s8.htm" TargetMode="External"/><Relationship Id="rId9" Type="http://schemas.openxmlformats.org/officeDocument/2006/relationships/hyperlink" Target="file:///\\tm.toppanmerrill.com\chi4\ActiveJobs\tm2326531-1\tm2326531-1_6kseq1\captures\v004.01-2023-09-21-03-29-35-utc-111407-ClientDraft-D3.1\tm2326531d1_ex99-3.htm" TargetMode="External"/><Relationship Id="rId13" Type="http://schemas.openxmlformats.org/officeDocument/2006/relationships/image" Target="media/image2.jpeg"/><Relationship Id="rId18" Type="http://schemas.openxmlformats.org/officeDocument/2006/relationships/image" Target="file:///T:\tm2326531-1\tm2326531-1_6kseq1\captures\v004.01-2023-09-21-03-29-35-utc-111407-ClientDraft-D3.1\tm2326531d1_ex99-2img003.jpg" TargetMode="External"/><Relationship Id="rId39" Type="http://schemas.openxmlformats.org/officeDocument/2006/relationships/image" Target="media/image15.jpeg"/><Relationship Id="rId34" Type="http://schemas.openxmlformats.org/officeDocument/2006/relationships/image" Target="file:///T:\tm2326531-1\tm2326531-1_6kseq1\captures\v004.01-2023-09-21-03-29-35-utc-111407-ClientDraft-D3.1\tm2326531d1_ex99-2img011.jpg" TargetMode="External"/><Relationship Id="rId50" Type="http://schemas.openxmlformats.org/officeDocument/2006/relationships/image" Target="file:///T:\tm2326531-1\tm2326531-1_6kseq1\captures\v004.01-2023-09-21-03-29-35-utc-111407-ClientDraft-D3.1\tm2326531d1_ex99-3img004.jpg" TargetMode="External"/><Relationship Id="rId55" Type="http://schemas.openxmlformats.org/officeDocument/2006/relationships/image" Target="media/image23.jpeg"/><Relationship Id="rId76" Type="http://schemas.openxmlformats.org/officeDocument/2006/relationships/image" Target="file:///T:\tm2326531-1\tm2326531-1_6kseq1\captures\v004.01-2023-09-21-03-29-35-utc-111407-ClientDraft-D3.1\tm2326531d1_ex99-3img017.jpg" TargetMode="External"/><Relationship Id="rId7" Type="http://schemas.openxmlformats.org/officeDocument/2006/relationships/hyperlink" Target="file:///\\tm.toppanmerrill.com\chi4\ActiveJobs\tm2326531-1\tm2326531-1_6kseq1\captures\v004.01-2023-09-21-03-29-35-utc-111407-ClientDraft-D3.1\tm2326531d1_ex99-2.htm" TargetMode="External"/><Relationship Id="rId71" Type="http://schemas.openxmlformats.org/officeDocument/2006/relationships/image" Target="media/image31.jpeg"/><Relationship Id="rId2" Type="http://schemas.openxmlformats.org/officeDocument/2006/relationships/settings" Target="settings.xml"/><Relationship Id="rId2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10127</Words>
  <Characters>58693</Characters>
  <Application>Microsoft Office Word</Application>
  <DocSecurity>0</DocSecurity>
  <Lines>1586</Lines>
  <Paragraphs>464</Paragraphs>
  <ScaleCrop>false</ScaleCrop>
  <HeadingPairs>
    <vt:vector size="2" baseType="variant">
      <vt:variant>
        <vt:lpstr>Title</vt:lpstr>
      </vt:variant>
      <vt:variant>
        <vt:i4>1</vt:i4>
      </vt:variant>
    </vt:vector>
  </HeadingPairs>
  <TitlesOfParts>
    <vt:vector size="1" baseType="lpstr">
      <vt:lpstr/>
    </vt:vector>
  </TitlesOfParts>
  <Company>Toppan Merrill</Company>
  <LinksUpToDate>false</LinksUpToDate>
  <CharactersWithSpaces>68356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(Admin), Laurence</dc:creator>
  <cp:keywords/>
  <dc:description/>
  <cp:lastModifiedBy>Tam (Admin), Laurence</cp:lastModifiedBy>
  <cp:revision>3</cp:revision>
  <dcterms:created xsi:type="dcterms:W3CDTF">2023-09-21T12:27:00Z</dcterms:created>
  <dcterms:modified xsi:type="dcterms:W3CDTF">2023-09-21T15:57:00Z</dcterms:modified>
</cp:coreProperties>
</file>